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E7F" w:rsidRDefault="00917473">
      <w:pPr>
        <w:pStyle w:val="Introduction"/>
        <w:rPr>
          <w:rFonts w:cs="Arial"/>
        </w:rPr>
      </w:pPr>
      <w:r>
        <w:rPr>
          <w:rFonts w:cs="Arial"/>
          <w:noProof/>
          <w:lang w:eastAsia="en-GB"/>
        </w:rPr>
        <w:drawing>
          <wp:anchor distT="0" distB="0" distL="114300" distR="114300" simplePos="0" relativeHeight="251657728" behindDoc="0" locked="0" layoutInCell="1" allowOverlap="1">
            <wp:simplePos x="0" y="0"/>
            <wp:positionH relativeFrom="column">
              <wp:posOffset>1423035</wp:posOffset>
            </wp:positionH>
            <wp:positionV relativeFrom="paragraph">
              <wp:posOffset>-911860</wp:posOffset>
            </wp:positionV>
            <wp:extent cx="2638425" cy="1685925"/>
            <wp:effectExtent l="0" t="0" r="0" b="0"/>
            <wp:wrapNone/>
            <wp:docPr id="2" name="Picture 2"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8425" cy="1685925"/>
                    </a:xfrm>
                    <a:prstGeom prst="rect">
                      <a:avLst/>
                    </a:prstGeom>
                    <a:noFill/>
                  </pic:spPr>
                </pic:pic>
              </a:graphicData>
            </a:graphic>
            <wp14:sizeRelH relativeFrom="page">
              <wp14:pctWidth>0</wp14:pctWidth>
            </wp14:sizeRelH>
            <wp14:sizeRelV relativeFrom="page">
              <wp14:pctHeight>0</wp14:pctHeight>
            </wp14:sizeRelV>
          </wp:anchor>
        </w:drawing>
      </w:r>
    </w:p>
    <w:p w:rsidR="00235E7F" w:rsidRDefault="00235E7F" w:rsidP="00235E7F">
      <w:pPr>
        <w:pStyle w:val="Introduction"/>
        <w:spacing w:after="0"/>
        <w:rPr>
          <w:rFonts w:cs="Arial"/>
        </w:rPr>
      </w:pPr>
    </w:p>
    <w:p w:rsidR="004C69FA" w:rsidRDefault="004C69FA" w:rsidP="004C69FA">
      <w:pPr>
        <w:pStyle w:val="Introduction"/>
        <w:spacing w:after="120"/>
        <w:rPr>
          <w:rFonts w:cs="Arial"/>
        </w:rPr>
      </w:pPr>
    </w:p>
    <w:p w:rsidR="004C69FA" w:rsidRDefault="00CE29B3" w:rsidP="00CE29B3">
      <w:pPr>
        <w:pStyle w:val="Introduction"/>
        <w:tabs>
          <w:tab w:val="clear" w:pos="720"/>
          <w:tab w:val="clear" w:pos="2160"/>
          <w:tab w:val="clear" w:pos="2880"/>
          <w:tab w:val="clear" w:pos="4680"/>
          <w:tab w:val="clear" w:pos="5400"/>
          <w:tab w:val="clear" w:pos="9000"/>
        </w:tabs>
        <w:spacing w:after="0"/>
        <w:rPr>
          <w:rFonts w:cs="Arial"/>
        </w:rPr>
      </w:pPr>
      <w:r>
        <w:rPr>
          <w:rFonts w:cs="Arial"/>
        </w:rPr>
        <w:tab/>
      </w:r>
    </w:p>
    <w:p w:rsidR="001721D7" w:rsidRPr="001721D7" w:rsidRDefault="001721D7">
      <w:pPr>
        <w:pStyle w:val="Introduction"/>
        <w:rPr>
          <w:rFonts w:cs="Arial"/>
        </w:rPr>
      </w:pPr>
      <w:r w:rsidRPr="001721D7">
        <w:rPr>
          <w:rFonts w:cs="Arial"/>
        </w:rPr>
        <w:t>RESPONSE FORM</w:t>
      </w:r>
    </w:p>
    <w:p w:rsidR="001721D7" w:rsidRPr="001721D7" w:rsidRDefault="001721D7" w:rsidP="00E611FA">
      <w:pPr>
        <w:pStyle w:val="Introduction"/>
        <w:spacing w:after="120"/>
        <w:rPr>
          <w:rFonts w:cs="Arial"/>
        </w:rPr>
      </w:pPr>
      <w:r w:rsidRPr="001721D7">
        <w:rPr>
          <w:rFonts w:cs="Arial"/>
        </w:rPr>
        <w:t xml:space="preserve">DISCUSSION PAPER ON </w:t>
      </w:r>
      <w:r w:rsidR="00917473">
        <w:rPr>
          <w:rFonts w:cs="Arial"/>
        </w:rPr>
        <w:t>HERITABLE SECURITIES: PRE-DEFAULT</w:t>
      </w:r>
    </w:p>
    <w:p w:rsidR="001721D7" w:rsidRPr="001721D7" w:rsidRDefault="001721D7">
      <w:pPr>
        <w:spacing w:after="0" w:line="240" w:lineRule="auto"/>
        <w:rPr>
          <w:rFonts w:cs="Arial"/>
          <w:b/>
        </w:rPr>
      </w:pPr>
    </w:p>
    <w:p w:rsidR="009C383B" w:rsidRDefault="001721D7">
      <w:pPr>
        <w:spacing w:after="0" w:line="240" w:lineRule="auto"/>
        <w:rPr>
          <w:rFonts w:cs="Arial"/>
        </w:rPr>
      </w:pPr>
      <w:r w:rsidRPr="001721D7">
        <w:rPr>
          <w:rFonts w:cs="Arial"/>
        </w:rPr>
        <w:t>We hope that by using this form it will be easier for you to respond to the proposals or quest</w:t>
      </w:r>
      <w:r w:rsidR="00EC3EFF">
        <w:rPr>
          <w:rFonts w:cs="Arial"/>
        </w:rPr>
        <w:t>ions set out in the Discussion P</w:t>
      </w:r>
      <w:r w:rsidRPr="001721D7">
        <w:rPr>
          <w:rFonts w:cs="Arial"/>
        </w:rPr>
        <w:t xml:space="preserve">aper.  </w:t>
      </w:r>
      <w:r w:rsidR="00E41BBB" w:rsidRPr="00E41BBB">
        <w:rPr>
          <w:rFonts w:cs="Arial"/>
        </w:rPr>
        <w:t>Respondents who wish to address only some of th</w:t>
      </w:r>
      <w:r w:rsidR="00E41BBB">
        <w:rPr>
          <w:rFonts w:cs="Arial"/>
        </w:rPr>
        <w:t xml:space="preserve">e questions and proposals </w:t>
      </w:r>
      <w:r w:rsidR="00E41BBB" w:rsidRPr="00E41BBB">
        <w:rPr>
          <w:rFonts w:cs="Arial"/>
        </w:rPr>
        <w:t>may do so.</w:t>
      </w:r>
      <w:r w:rsidR="00E41BBB">
        <w:rPr>
          <w:rFonts w:cs="Arial"/>
        </w:rPr>
        <w:t xml:space="preserve">  </w:t>
      </w:r>
      <w:r w:rsidRPr="001721D7">
        <w:rPr>
          <w:rFonts w:cs="Arial"/>
        </w:rPr>
        <w:t>The form reproduces the proposals/questions as summarised at the end of the paper and allows you to enter comments in a box after each one.  At the end of the form, there is also space for any general comments you may have.</w:t>
      </w:r>
    </w:p>
    <w:p w:rsidR="00E41BBB" w:rsidRDefault="00E41BBB">
      <w:pPr>
        <w:spacing w:after="0" w:line="240" w:lineRule="auto"/>
        <w:rPr>
          <w:rFonts w:cs="Arial"/>
        </w:rPr>
      </w:pPr>
    </w:p>
    <w:p w:rsidR="00193A11" w:rsidRPr="00193A11" w:rsidRDefault="00193A11" w:rsidP="00193A11">
      <w:pPr>
        <w:spacing w:after="0" w:line="240" w:lineRule="auto"/>
        <w:rPr>
          <w:rFonts w:cs="Arial"/>
        </w:rPr>
      </w:pPr>
      <w:r w:rsidRPr="00193A11">
        <w:rPr>
          <w:rFonts w:cs="Arial"/>
        </w:rPr>
        <w:t xml:space="preserve">Please note that information about this Discussion Paper, including copies of responses, may be made available in terms of the Freedom of Information (Scotland) Act 2002.  Any confidential response will be dealt with in accordance with the 2002 Act.  </w:t>
      </w:r>
    </w:p>
    <w:p w:rsidR="00193A11" w:rsidRPr="00193A11" w:rsidRDefault="00193A11" w:rsidP="00193A11">
      <w:pPr>
        <w:spacing w:after="0" w:line="240" w:lineRule="auto"/>
        <w:rPr>
          <w:rFonts w:cs="Arial"/>
        </w:rPr>
      </w:pPr>
      <w:r w:rsidRPr="00193A11">
        <w:rPr>
          <w:rFonts w:cs="Arial"/>
        </w:rPr>
        <w:t xml:space="preserve"> </w:t>
      </w:r>
    </w:p>
    <w:p w:rsidR="001721D7" w:rsidRDefault="00193A11" w:rsidP="00193A11">
      <w:pPr>
        <w:spacing w:after="0" w:line="240" w:lineRule="auto"/>
        <w:rPr>
          <w:rFonts w:cs="Arial"/>
        </w:rPr>
      </w:pPr>
      <w:r w:rsidRPr="00193A11">
        <w:rPr>
          <w:rFonts w:cs="Arial"/>
        </w:rPr>
        <w:t>We may also (i) publish responses on our website (either in full or in some other way such as re-formatted or summarised); and (ii) attribute comments and publish a list of respondents' names.</w:t>
      </w:r>
    </w:p>
    <w:p w:rsidR="00193A11" w:rsidRDefault="00193A11">
      <w:pPr>
        <w:spacing w:after="0" w:line="240" w:lineRule="auto"/>
        <w:rPr>
          <w:rFonts w:cs="Arial"/>
        </w:rPr>
      </w:pPr>
    </w:p>
    <w:p w:rsidR="004C69FA" w:rsidRPr="00CE29B3" w:rsidRDefault="004C69FA" w:rsidP="004C69FA">
      <w:pPr>
        <w:spacing w:after="0" w:line="240" w:lineRule="auto"/>
        <w:rPr>
          <w:rFonts w:cs="Arial"/>
          <w:szCs w:val="22"/>
        </w:rPr>
      </w:pPr>
      <w:r w:rsidRPr="00CE29B3">
        <w:rPr>
          <w:rFonts w:cs="Arial"/>
          <w:szCs w:val="22"/>
        </w:rPr>
        <w:t>In order to access any box for comments, press the shortcut key F11 and it will take you to the next box you wish to enter text into.  If you are commenting on only a few of the proposals, continue using F11 until you arrive at the box you wish to access. To return to a previous box press Ctrl+Page Up or press Ctrl+Home to return to the beginning of the form.</w:t>
      </w:r>
    </w:p>
    <w:p w:rsidR="004C69FA" w:rsidRPr="00CE29B3" w:rsidRDefault="004C69FA" w:rsidP="004C69FA">
      <w:pPr>
        <w:spacing w:after="0" w:line="240" w:lineRule="auto"/>
        <w:rPr>
          <w:rFonts w:cs="Arial"/>
          <w:szCs w:val="22"/>
        </w:rPr>
      </w:pPr>
    </w:p>
    <w:p w:rsidR="001721D7" w:rsidRPr="00CE29B3" w:rsidRDefault="004C69FA">
      <w:pPr>
        <w:spacing w:after="0" w:line="240" w:lineRule="auto"/>
        <w:rPr>
          <w:rFonts w:cs="Arial"/>
          <w:szCs w:val="22"/>
        </w:rPr>
      </w:pPr>
      <w:r w:rsidRPr="00CE29B3">
        <w:rPr>
          <w:rFonts w:cs="Arial"/>
          <w:szCs w:val="22"/>
        </w:rPr>
        <w:t xml:space="preserve">Please save the completed response form to your own system as a Word document and </w:t>
      </w:r>
      <w:r w:rsidR="0026582F" w:rsidRPr="00CE29B3">
        <w:rPr>
          <w:rFonts w:cs="Arial"/>
          <w:szCs w:val="22"/>
        </w:rPr>
        <w:t xml:space="preserve">send it as an email attachment </w:t>
      </w:r>
      <w:r w:rsidRPr="00CE29B3">
        <w:rPr>
          <w:rFonts w:cs="Arial"/>
          <w:szCs w:val="22"/>
        </w:rPr>
        <w:t xml:space="preserve">to </w:t>
      </w:r>
      <w:hyperlink r:id="rId8" w:history="1">
        <w:r w:rsidR="00C539FD" w:rsidRPr="006F43E2">
          <w:rPr>
            <w:rStyle w:val="Hyperlink"/>
            <w:rFonts w:cs="Arial"/>
            <w:szCs w:val="22"/>
          </w:rPr>
          <w:t>info@scotlawcom.gsi.gov.uk</w:t>
        </w:r>
      </w:hyperlink>
      <w:r w:rsidRPr="00CE29B3">
        <w:rPr>
          <w:rFonts w:cs="Arial"/>
          <w:szCs w:val="22"/>
        </w:rPr>
        <w:t>.</w:t>
      </w:r>
      <w:r w:rsidR="00193A11">
        <w:rPr>
          <w:rFonts w:cs="Arial"/>
          <w:szCs w:val="22"/>
        </w:rPr>
        <w:t xml:space="preserve"> </w:t>
      </w:r>
      <w:r w:rsidR="00193A11" w:rsidRPr="00193A11">
        <w:rPr>
          <w:rFonts w:cs="Arial"/>
          <w:szCs w:val="22"/>
        </w:rPr>
        <w:t xml:space="preserve">Comments not on the response form may be submitted via said email address or by using the </w:t>
      </w:r>
      <w:hyperlink r:id="rId9" w:anchor="sendcomments" w:tgtFrame="_blank" w:history="1">
        <w:r w:rsidR="00193A11" w:rsidRPr="00C539FD">
          <w:rPr>
            <w:rStyle w:val="Hyperlink"/>
            <w:rFonts w:cs="Arial"/>
            <w:szCs w:val="22"/>
          </w:rPr>
          <w:t>gener</w:t>
        </w:r>
        <w:r w:rsidR="00C539FD" w:rsidRPr="00C539FD">
          <w:rPr>
            <w:rStyle w:val="Hyperlink"/>
            <w:rFonts w:cs="Arial"/>
            <w:szCs w:val="22"/>
          </w:rPr>
          <w:t>al comments form</w:t>
        </w:r>
      </w:hyperlink>
      <w:r w:rsidR="00C539FD">
        <w:rPr>
          <w:rFonts w:cs="Arial"/>
          <w:szCs w:val="22"/>
        </w:rPr>
        <w:t xml:space="preserve"> on our website</w:t>
      </w:r>
      <w:r w:rsidR="00193A11" w:rsidRPr="00193A11">
        <w:rPr>
          <w:rFonts w:cs="Arial"/>
          <w:szCs w:val="22"/>
        </w:rPr>
        <w:t>. If you prefer you can send comments by post to the</w:t>
      </w:r>
      <w:r w:rsidR="001721D7" w:rsidRPr="00CE29B3">
        <w:rPr>
          <w:rFonts w:cs="Arial"/>
          <w:szCs w:val="22"/>
        </w:rPr>
        <w:t xml:space="preserve"> Scottish Law Commission, 140 Causewayside, Edinb</w:t>
      </w:r>
      <w:r w:rsidR="0026582F" w:rsidRPr="00CE29B3">
        <w:rPr>
          <w:rFonts w:cs="Arial"/>
          <w:szCs w:val="22"/>
        </w:rPr>
        <w:t>urgh</w:t>
      </w:r>
      <w:r w:rsidR="001721D7" w:rsidRPr="00CE29B3">
        <w:rPr>
          <w:rFonts w:cs="Arial"/>
          <w:szCs w:val="22"/>
        </w:rPr>
        <w:t xml:space="preserve"> EH9 1PR.</w:t>
      </w:r>
    </w:p>
    <w:p w:rsidR="001721D7" w:rsidRPr="001721D7" w:rsidRDefault="001721D7">
      <w:pPr>
        <w:spacing w:after="0" w:line="240"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Name:</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17473">
              <w:rPr>
                <w:rFonts w:cs="Arial"/>
                <w:noProof/>
              </w:rPr>
              <w:t>«InsertTextHere»</w:t>
            </w:r>
            <w:r w:rsidRPr="001721D7">
              <w:rPr>
                <w:rFonts w:cs="Arial"/>
              </w:rPr>
              <w:fldChar w:fldCharType="end"/>
            </w:r>
          </w:p>
          <w:p w:rsidR="001721D7" w:rsidRPr="001721D7" w:rsidRDefault="001721D7">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Organisation:</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17473">
              <w:rPr>
                <w:rFonts w:cs="Arial"/>
                <w:noProof/>
              </w:rPr>
              <w:t>«InsertTextHere»</w:t>
            </w:r>
            <w:r w:rsidRPr="001721D7">
              <w:rPr>
                <w:rFonts w:cs="Arial"/>
              </w:rPr>
              <w:fldChar w:fldCharType="end"/>
            </w:r>
          </w:p>
          <w:p w:rsidR="001721D7" w:rsidRPr="001721D7" w:rsidRDefault="001721D7">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Address:</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17473">
              <w:rPr>
                <w:rFonts w:cs="Arial"/>
                <w:noProof/>
              </w:rPr>
              <w:t>«InsertTextHere»</w:t>
            </w:r>
            <w:r w:rsidRPr="001721D7">
              <w:rPr>
                <w:rFonts w:cs="Arial"/>
              </w:rPr>
              <w:fldChar w:fldCharType="end"/>
            </w:r>
          </w:p>
          <w:p w:rsidR="00193A11" w:rsidRPr="001721D7" w:rsidRDefault="00193A11">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pStyle w:val="Introduction"/>
              <w:keepNext w:val="0"/>
              <w:spacing w:after="0" w:line="240" w:lineRule="auto"/>
              <w:rPr>
                <w:rFonts w:cs="Arial"/>
              </w:rPr>
            </w:pPr>
            <w:r w:rsidRPr="001721D7">
              <w:rPr>
                <w:rFonts w:cs="Arial"/>
              </w:rPr>
              <w:t>Email address:</w:t>
            </w:r>
          </w:p>
          <w:p w:rsidR="001721D7" w:rsidRPr="001721D7" w:rsidRDefault="001721D7">
            <w:pPr>
              <w:spacing w:after="0" w:line="240" w:lineRule="auto"/>
              <w:rPr>
                <w:rFonts w:cs="Arial"/>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17473">
              <w:rPr>
                <w:rFonts w:cs="Arial"/>
                <w:noProof/>
              </w:rPr>
              <w:t>«InsertTextHere»</w:t>
            </w:r>
            <w:r w:rsidRPr="001721D7">
              <w:rPr>
                <w:rFonts w:cs="Arial"/>
              </w:rPr>
              <w:fldChar w:fldCharType="end"/>
            </w:r>
          </w:p>
        </w:tc>
      </w:tr>
    </w:tbl>
    <w:p w:rsidR="001721D7" w:rsidRPr="001217DA" w:rsidRDefault="001721D7" w:rsidP="00A215D7">
      <w:pPr>
        <w:pStyle w:val="StyleAfter0ptLinespacingsingle"/>
        <w:rPr>
          <w:b/>
          <w:sz w:val="36"/>
          <w:szCs w:val="36"/>
        </w:rPr>
      </w:pPr>
      <w:r w:rsidRPr="001721D7">
        <w:br w:type="page"/>
      </w:r>
      <w:r w:rsidRPr="001217DA">
        <w:rPr>
          <w:b/>
          <w:sz w:val="36"/>
          <w:szCs w:val="36"/>
        </w:rPr>
        <w:lastRenderedPageBreak/>
        <w:t>Summary of Proposals</w:t>
      </w:r>
    </w:p>
    <w:p w:rsidR="001721D7" w:rsidRDefault="001721D7">
      <w:pPr>
        <w:rPr>
          <w:rFonts w:cs="Arial"/>
        </w:rPr>
      </w:pPr>
    </w:p>
    <w:p w:rsidR="00052C0D" w:rsidRDefault="00052C0D" w:rsidP="00052C0D">
      <w:pPr>
        <w:ind w:left="720" w:hanging="720"/>
      </w:pPr>
      <w:r>
        <w:t>1.</w:t>
      </w:r>
      <w:r>
        <w:tab/>
        <w:t>What information or data do consultees have on:</w:t>
      </w:r>
    </w:p>
    <w:p w:rsidR="00052C0D" w:rsidRDefault="00052C0D" w:rsidP="00052C0D">
      <w:pPr>
        <w:ind w:left="720" w:hanging="720"/>
      </w:pPr>
      <w:r>
        <w:tab/>
        <w:t>(a)</w:t>
      </w:r>
      <w:r>
        <w:tab/>
        <w:t>the economic impact of the current legislation on heritable securities in relation to pre-default issues, or</w:t>
      </w:r>
    </w:p>
    <w:p w:rsidR="00052C0D" w:rsidRDefault="00052C0D" w:rsidP="00052C0D">
      <w:pPr>
        <w:ind w:left="720"/>
      </w:pPr>
      <w:r>
        <w:t>(b)</w:t>
      </w:r>
      <w:r>
        <w:tab/>
        <w:t>the potential economic impact of any option for reform proposed in this Discussion Paper?</w:t>
      </w:r>
    </w:p>
    <w:p w:rsidR="00052C0D" w:rsidRDefault="00052C0D" w:rsidP="00052C0D">
      <w:pPr>
        <w:jc w:val="right"/>
      </w:pPr>
      <w:r>
        <w:t>(Paragraph 1.34)</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rsidTr="00052C0D">
        <w:tc>
          <w:tcPr>
            <w:tcW w:w="9245" w:type="dxa"/>
          </w:tcPr>
          <w:p w:rsidR="001721D7" w:rsidRPr="001721D7" w:rsidRDefault="001721D7">
            <w:pPr>
              <w:rPr>
                <w:rFonts w:cs="Arial"/>
              </w:rPr>
            </w:pPr>
            <w:r w:rsidRPr="001721D7">
              <w:rPr>
                <w:rFonts w:cs="Arial"/>
                <w:b/>
              </w:rPr>
              <w:t>Comments on Proposal 1</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17473">
              <w:rPr>
                <w:rFonts w:cs="Arial"/>
                <w:noProof/>
              </w:rPr>
              <w:t>«InsertTextHere»</w:t>
            </w:r>
            <w:r w:rsidRPr="001721D7">
              <w:rPr>
                <w:rFonts w:cs="Arial"/>
              </w:rPr>
              <w:fldChar w:fldCharType="end"/>
            </w:r>
          </w:p>
        </w:tc>
      </w:tr>
    </w:tbl>
    <w:p w:rsidR="001721D7" w:rsidRPr="001721D7" w:rsidRDefault="001721D7">
      <w:pPr>
        <w:rPr>
          <w:rFonts w:cs="Arial"/>
        </w:rPr>
      </w:pPr>
    </w:p>
    <w:p w:rsidR="00052C0D" w:rsidRDefault="00052C0D" w:rsidP="00052C0D">
      <w:pPr>
        <w:ind w:left="720" w:hanging="720"/>
      </w:pPr>
      <w:r>
        <w:t>2.</w:t>
      </w:r>
      <w:r>
        <w:tab/>
        <w:t>The Conveyancing and Feudal Reform (Scotland) Act 1970 should be repealed and replaced with a new statute regulating heritable securities.</w:t>
      </w:r>
    </w:p>
    <w:p w:rsidR="00052C0D" w:rsidRDefault="00052C0D" w:rsidP="00052C0D">
      <w:pPr>
        <w:jc w:val="right"/>
      </w:pPr>
      <w:r>
        <w:t>(Paragraph 3.2)</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rsidTr="00052C0D">
        <w:tc>
          <w:tcPr>
            <w:tcW w:w="9245" w:type="dxa"/>
          </w:tcPr>
          <w:p w:rsidR="001721D7" w:rsidRPr="001721D7" w:rsidRDefault="001721D7">
            <w:pPr>
              <w:rPr>
                <w:rFonts w:cs="Arial"/>
              </w:rPr>
            </w:pPr>
            <w:r w:rsidRPr="001721D7">
              <w:rPr>
                <w:rFonts w:cs="Arial"/>
                <w:b/>
              </w:rPr>
              <w:t>Comments on Proposal 2</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17473">
              <w:rPr>
                <w:rFonts w:cs="Arial"/>
                <w:noProof/>
              </w:rPr>
              <w:t>«InsertTextHere»</w:t>
            </w:r>
            <w:r w:rsidRPr="001721D7">
              <w:rPr>
                <w:rFonts w:cs="Arial"/>
              </w:rPr>
              <w:fldChar w:fldCharType="end"/>
            </w:r>
          </w:p>
        </w:tc>
      </w:tr>
    </w:tbl>
    <w:p w:rsidR="001721D7" w:rsidRPr="001721D7" w:rsidRDefault="001721D7">
      <w:pPr>
        <w:tabs>
          <w:tab w:val="clear" w:pos="2160"/>
        </w:tabs>
        <w:rPr>
          <w:rFonts w:cs="Arial"/>
        </w:rPr>
      </w:pPr>
    </w:p>
    <w:p w:rsidR="00052C0D" w:rsidRDefault="00052C0D" w:rsidP="00052C0D">
      <w:pPr>
        <w:ind w:left="720" w:hanging="720"/>
      </w:pPr>
      <w:r>
        <w:t>3.</w:t>
      </w:r>
      <w:r>
        <w:tab/>
        <w:t>The standard security should continue to be the only form of heritable security which can be granted.</w:t>
      </w:r>
    </w:p>
    <w:p w:rsidR="00052C0D" w:rsidRDefault="00052C0D" w:rsidP="00052C0D">
      <w:pPr>
        <w:jc w:val="right"/>
      </w:pPr>
      <w:r>
        <w:t>(Paragraph 3.12)</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rsidTr="00052C0D">
        <w:tc>
          <w:tcPr>
            <w:tcW w:w="9245" w:type="dxa"/>
          </w:tcPr>
          <w:p w:rsidR="001721D7" w:rsidRPr="001721D7" w:rsidRDefault="001721D7">
            <w:pPr>
              <w:rPr>
                <w:rFonts w:cs="Arial"/>
              </w:rPr>
            </w:pPr>
            <w:r w:rsidRPr="001721D7">
              <w:rPr>
                <w:rFonts w:cs="Arial"/>
                <w:b/>
              </w:rPr>
              <w:t>Comments on Proposal 3</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17473">
              <w:rPr>
                <w:rFonts w:cs="Arial"/>
                <w:noProof/>
              </w:rPr>
              <w:t>«InsertTextHere»</w:t>
            </w:r>
            <w:r w:rsidRPr="001721D7">
              <w:rPr>
                <w:rFonts w:cs="Arial"/>
              </w:rPr>
              <w:fldChar w:fldCharType="end"/>
            </w:r>
          </w:p>
        </w:tc>
      </w:tr>
    </w:tbl>
    <w:p w:rsidR="001721D7" w:rsidRPr="001721D7" w:rsidRDefault="001721D7">
      <w:pPr>
        <w:pStyle w:val="Heading1"/>
        <w:numPr>
          <w:ilvl w:val="0"/>
          <w:numId w:val="0"/>
        </w:numPr>
        <w:rPr>
          <w:rFonts w:cs="Arial"/>
          <w:b/>
        </w:rPr>
      </w:pPr>
    </w:p>
    <w:p w:rsidR="00052C0D" w:rsidRDefault="00052C0D" w:rsidP="00052C0D">
      <w:r>
        <w:t>4.</w:t>
      </w:r>
      <w:r>
        <w:tab/>
        <w:t>It should remain incompetent to transfer land in security.</w:t>
      </w:r>
    </w:p>
    <w:p w:rsidR="00052C0D" w:rsidRDefault="00052C0D" w:rsidP="00052C0D">
      <w:pPr>
        <w:jc w:val="right"/>
      </w:pPr>
      <w:r>
        <w:t>(Paragraph 3.13)</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rsidTr="00052C0D">
        <w:tc>
          <w:tcPr>
            <w:tcW w:w="9245" w:type="dxa"/>
          </w:tcPr>
          <w:p w:rsidR="001721D7" w:rsidRPr="001721D7" w:rsidRDefault="001721D7">
            <w:pPr>
              <w:rPr>
                <w:rFonts w:cs="Arial"/>
              </w:rPr>
            </w:pPr>
            <w:r w:rsidRPr="001721D7">
              <w:rPr>
                <w:rFonts w:cs="Arial"/>
                <w:b/>
              </w:rPr>
              <w:t>Comments on Proposal 4</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17473">
              <w:rPr>
                <w:rFonts w:cs="Arial"/>
                <w:noProof/>
              </w:rPr>
              <w:t>«InsertTextHere»</w:t>
            </w:r>
            <w:r w:rsidRPr="001721D7">
              <w:rPr>
                <w:rFonts w:cs="Arial"/>
              </w:rPr>
              <w:fldChar w:fldCharType="end"/>
            </w:r>
          </w:p>
        </w:tc>
      </w:tr>
    </w:tbl>
    <w:p w:rsidR="001721D7" w:rsidRPr="001721D7" w:rsidRDefault="001721D7">
      <w:pPr>
        <w:rPr>
          <w:rFonts w:cs="Arial"/>
          <w:b/>
        </w:rPr>
      </w:pPr>
    </w:p>
    <w:p w:rsidR="000A3CF5" w:rsidRDefault="000A3CF5" w:rsidP="000A3CF5">
      <w:pPr>
        <w:ind w:left="720" w:hanging="720"/>
      </w:pPr>
      <w:r>
        <w:lastRenderedPageBreak/>
        <w:t>5.</w:t>
      </w:r>
      <w:r>
        <w:tab/>
        <w:t>Should any transactions other than transfers in security be prohibited to ensure that a standard security is used instead?</w:t>
      </w:r>
    </w:p>
    <w:p w:rsidR="000A3CF5" w:rsidRDefault="000A3CF5" w:rsidP="000A3CF5">
      <w:pPr>
        <w:jc w:val="right"/>
      </w:pPr>
      <w:r>
        <w:t>(Paragraph 3.15)</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rsidTr="000A3CF5">
        <w:tc>
          <w:tcPr>
            <w:tcW w:w="9245" w:type="dxa"/>
          </w:tcPr>
          <w:p w:rsidR="001721D7" w:rsidRPr="001721D7" w:rsidRDefault="001721D7">
            <w:pPr>
              <w:rPr>
                <w:rFonts w:cs="Arial"/>
              </w:rPr>
            </w:pPr>
            <w:r w:rsidRPr="001721D7">
              <w:rPr>
                <w:rFonts w:cs="Arial"/>
                <w:b/>
              </w:rPr>
              <w:t>Comments on Proposal 5</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17473">
              <w:rPr>
                <w:rFonts w:cs="Arial"/>
                <w:noProof/>
              </w:rPr>
              <w:t>«InsertTextHere»</w:t>
            </w:r>
            <w:r w:rsidRPr="001721D7">
              <w:rPr>
                <w:rFonts w:cs="Arial"/>
              </w:rPr>
              <w:fldChar w:fldCharType="end"/>
            </w:r>
          </w:p>
        </w:tc>
      </w:tr>
    </w:tbl>
    <w:p w:rsidR="001721D7" w:rsidRPr="001721D7" w:rsidRDefault="001721D7">
      <w:pPr>
        <w:tabs>
          <w:tab w:val="clear" w:pos="720"/>
          <w:tab w:val="clear" w:pos="1440"/>
        </w:tabs>
        <w:jc w:val="left"/>
        <w:rPr>
          <w:rFonts w:cs="Arial"/>
        </w:rPr>
      </w:pPr>
    </w:p>
    <w:p w:rsidR="000A3CF5" w:rsidRDefault="000A3CF5" w:rsidP="000A3CF5">
      <w:r>
        <w:t>6.</w:t>
      </w:r>
      <w:r>
        <w:tab/>
        <w:t>The term “standard security” should be retained.</w:t>
      </w:r>
    </w:p>
    <w:p w:rsidR="000A3CF5" w:rsidRDefault="000A3CF5" w:rsidP="000A3CF5">
      <w:pPr>
        <w:jc w:val="right"/>
      </w:pPr>
      <w:r>
        <w:t>(Paragraph 3.20)</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rsidTr="000A3CF5">
        <w:tc>
          <w:tcPr>
            <w:tcW w:w="9245" w:type="dxa"/>
          </w:tcPr>
          <w:p w:rsidR="001721D7" w:rsidRPr="001721D7" w:rsidRDefault="001721D7">
            <w:pPr>
              <w:rPr>
                <w:rFonts w:cs="Arial"/>
              </w:rPr>
            </w:pPr>
            <w:r w:rsidRPr="001721D7">
              <w:rPr>
                <w:rFonts w:cs="Arial"/>
                <w:b/>
              </w:rPr>
              <w:t>Comments on Proposal 6</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17473">
              <w:rPr>
                <w:rFonts w:cs="Arial"/>
                <w:noProof/>
              </w:rPr>
              <w:t>«InsertTextHere»</w:t>
            </w:r>
            <w:r w:rsidRPr="001721D7">
              <w:rPr>
                <w:rFonts w:cs="Arial"/>
              </w:rPr>
              <w:fldChar w:fldCharType="end"/>
            </w:r>
          </w:p>
        </w:tc>
      </w:tr>
    </w:tbl>
    <w:p w:rsidR="001721D7" w:rsidRPr="001721D7" w:rsidRDefault="001721D7">
      <w:pPr>
        <w:rPr>
          <w:rFonts w:cs="Arial"/>
        </w:rPr>
      </w:pPr>
    </w:p>
    <w:p w:rsidR="000A3CF5" w:rsidRDefault="000A3CF5" w:rsidP="000A3CF5">
      <w:r>
        <w:t>7.</w:t>
      </w:r>
      <w:r>
        <w:tab/>
        <w:t>Should there be a non-accessory form of standard security?</w:t>
      </w:r>
    </w:p>
    <w:p w:rsidR="000A3CF5" w:rsidRDefault="000A3CF5" w:rsidP="000A3CF5">
      <w:pPr>
        <w:jc w:val="right"/>
      </w:pPr>
      <w:r>
        <w:t>(Paragraph 3.27)</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rsidTr="000A3CF5">
        <w:tc>
          <w:tcPr>
            <w:tcW w:w="9245" w:type="dxa"/>
          </w:tcPr>
          <w:p w:rsidR="001721D7" w:rsidRPr="001721D7" w:rsidRDefault="001721D7">
            <w:pPr>
              <w:rPr>
                <w:rFonts w:cs="Arial"/>
              </w:rPr>
            </w:pPr>
            <w:r w:rsidRPr="001721D7">
              <w:rPr>
                <w:rFonts w:cs="Arial"/>
                <w:b/>
              </w:rPr>
              <w:t>Comments on Proposal 7</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17473">
              <w:rPr>
                <w:rFonts w:cs="Arial"/>
                <w:noProof/>
              </w:rPr>
              <w:t>«InsertTextHere»</w:t>
            </w:r>
            <w:r w:rsidRPr="001721D7">
              <w:rPr>
                <w:rFonts w:cs="Arial"/>
              </w:rPr>
              <w:fldChar w:fldCharType="end"/>
            </w:r>
          </w:p>
        </w:tc>
      </w:tr>
    </w:tbl>
    <w:p w:rsidR="001721D7" w:rsidRPr="001721D7" w:rsidRDefault="001721D7">
      <w:pPr>
        <w:pStyle w:val="BodyText"/>
        <w:tabs>
          <w:tab w:val="left" w:pos="1440"/>
        </w:tabs>
        <w:spacing w:after="240" w:line="280" w:lineRule="exact"/>
        <w:jc w:val="both"/>
        <w:rPr>
          <w:rFonts w:cs="Arial"/>
        </w:rPr>
      </w:pPr>
    </w:p>
    <w:p w:rsidR="000A3CF5" w:rsidRDefault="000A3CF5" w:rsidP="000A3CF5">
      <w:pPr>
        <w:ind w:left="720" w:hanging="720"/>
      </w:pPr>
      <w:r>
        <w:t>8.</w:t>
      </w:r>
      <w:r>
        <w:tab/>
        <w:t>(a)</w:t>
      </w:r>
      <w:r>
        <w:tab/>
        <w:t>The grantor of a standard security (and any successor) should not require to be the same person as the debtor in the secured obligation.</w:t>
      </w:r>
    </w:p>
    <w:p w:rsidR="000A3CF5" w:rsidRDefault="000A3CF5" w:rsidP="000A3CF5">
      <w:pPr>
        <w:ind w:left="720"/>
      </w:pPr>
      <w:r>
        <w:t>(b)</w:t>
      </w:r>
      <w:r>
        <w:tab/>
        <w:t>The grantee of a standard security (and any successor) should not require to be the same person as the creditor in the secured obligation.</w:t>
      </w:r>
    </w:p>
    <w:p w:rsidR="001721D7" w:rsidRPr="001721D7" w:rsidRDefault="000A3CF5" w:rsidP="000A3CF5">
      <w:pPr>
        <w:pStyle w:val="BodyText"/>
        <w:tabs>
          <w:tab w:val="left" w:pos="1440"/>
        </w:tabs>
        <w:spacing w:after="240" w:line="280" w:lineRule="exact"/>
        <w:jc w:val="right"/>
        <w:rPr>
          <w:rFonts w:cs="Arial"/>
        </w:rPr>
      </w:pPr>
      <w:r>
        <w:t>(Paragraph 3.40)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8</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17473">
              <w:rPr>
                <w:rFonts w:cs="Arial"/>
                <w:noProof/>
              </w:rPr>
              <w:t>«InsertTextHere»</w:t>
            </w:r>
            <w:r w:rsidRPr="001721D7">
              <w:rPr>
                <w:rFonts w:cs="Arial"/>
              </w:rPr>
              <w:fldChar w:fldCharType="end"/>
            </w:r>
          </w:p>
        </w:tc>
      </w:tr>
    </w:tbl>
    <w:p w:rsidR="001721D7" w:rsidRPr="001721D7" w:rsidRDefault="001721D7">
      <w:pPr>
        <w:rPr>
          <w:rFonts w:cs="Arial"/>
        </w:rPr>
      </w:pPr>
    </w:p>
    <w:p w:rsidR="000A3CF5" w:rsidRDefault="000A3CF5" w:rsidP="000A3CF5">
      <w:pPr>
        <w:ind w:left="720" w:hanging="720"/>
      </w:pPr>
      <w:r>
        <w:t>9.</w:t>
      </w:r>
      <w:r>
        <w:tab/>
        <w:t>Do consultees have any comments on the use of security trustee or nominee arrangements in relation to standard securities?</w:t>
      </w:r>
    </w:p>
    <w:p w:rsidR="000A3CF5" w:rsidRDefault="000A3CF5" w:rsidP="000A3CF5">
      <w:pPr>
        <w:jc w:val="right"/>
      </w:pPr>
      <w:r>
        <w:t>(Paragraph 3.41)</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rsidTr="000A3CF5">
        <w:tc>
          <w:tcPr>
            <w:tcW w:w="9245" w:type="dxa"/>
          </w:tcPr>
          <w:p w:rsidR="001721D7" w:rsidRPr="001721D7" w:rsidRDefault="001721D7">
            <w:pPr>
              <w:rPr>
                <w:rFonts w:cs="Arial"/>
              </w:rPr>
            </w:pPr>
            <w:r w:rsidRPr="001721D7">
              <w:rPr>
                <w:rFonts w:cs="Arial"/>
                <w:b/>
              </w:rPr>
              <w:t>Comments on Proposal 9</w:t>
            </w:r>
          </w:p>
          <w:p w:rsidR="001721D7" w:rsidRPr="001721D7" w:rsidRDefault="001721D7">
            <w:pPr>
              <w:rPr>
                <w:rFonts w:cs="Arial"/>
              </w:rPr>
            </w:pPr>
            <w:r w:rsidRPr="001721D7">
              <w:rPr>
                <w:rFonts w:cs="Arial"/>
              </w:rPr>
              <w:lastRenderedPageBreak/>
              <w:fldChar w:fldCharType="begin"/>
            </w:r>
            <w:r w:rsidRPr="001721D7">
              <w:rPr>
                <w:rFonts w:cs="Arial"/>
              </w:rPr>
              <w:instrText>MERGEFIELD InsertTextHere</w:instrText>
            </w:r>
            <w:r w:rsidRPr="001721D7">
              <w:rPr>
                <w:rFonts w:cs="Arial"/>
              </w:rPr>
              <w:fldChar w:fldCharType="separate"/>
            </w:r>
            <w:r w:rsidR="00917473">
              <w:rPr>
                <w:rFonts w:cs="Arial"/>
                <w:noProof/>
              </w:rPr>
              <w:t>«InsertTextHere»</w:t>
            </w:r>
            <w:r w:rsidRPr="001721D7">
              <w:rPr>
                <w:rFonts w:cs="Arial"/>
              </w:rPr>
              <w:fldChar w:fldCharType="end"/>
            </w:r>
          </w:p>
        </w:tc>
      </w:tr>
    </w:tbl>
    <w:p w:rsidR="001721D7" w:rsidRPr="001721D7" w:rsidRDefault="001721D7">
      <w:pPr>
        <w:rPr>
          <w:rFonts w:cs="Arial"/>
        </w:rPr>
      </w:pPr>
    </w:p>
    <w:p w:rsidR="00BE2DF8" w:rsidRDefault="00BE2DF8" w:rsidP="00BE2DF8">
      <w:pPr>
        <w:ind w:left="720" w:hanging="720"/>
      </w:pPr>
      <w:r>
        <w:t>10.</w:t>
      </w:r>
      <w:r>
        <w:tab/>
        <w:t>(a)</w:t>
      </w:r>
      <w:r>
        <w:tab/>
        <w:t>Do consultees agree that the parties to a standard security should continue to be referred to as the “debtor” and “creditor”?</w:t>
      </w:r>
    </w:p>
    <w:p w:rsidR="00BE2DF8" w:rsidRDefault="00BE2DF8" w:rsidP="00BE2DF8">
      <w:pPr>
        <w:ind w:left="720"/>
      </w:pPr>
      <w:r>
        <w:t>(b)</w:t>
      </w:r>
      <w:r>
        <w:tab/>
        <w:t xml:space="preserve">Do consultees agree that “grantor” and “grantee”, and “proprietor” should continue to be used where appropriate? </w:t>
      </w:r>
    </w:p>
    <w:p w:rsidR="00BE2DF8" w:rsidRDefault="00BE2DF8" w:rsidP="00BE2DF8">
      <w:pPr>
        <w:jc w:val="right"/>
      </w:pPr>
      <w:r>
        <w:t>(Paragraph 3.42)</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rsidTr="00BE2DF8">
        <w:tc>
          <w:tcPr>
            <w:tcW w:w="9245" w:type="dxa"/>
          </w:tcPr>
          <w:p w:rsidR="001721D7" w:rsidRPr="001721D7" w:rsidRDefault="001721D7">
            <w:pPr>
              <w:rPr>
                <w:rFonts w:cs="Arial"/>
              </w:rPr>
            </w:pPr>
            <w:r w:rsidRPr="001721D7">
              <w:rPr>
                <w:rFonts w:cs="Arial"/>
                <w:b/>
              </w:rPr>
              <w:t>Comments on Proposal 10</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17473">
              <w:rPr>
                <w:rFonts w:cs="Arial"/>
                <w:noProof/>
              </w:rPr>
              <w:t>«InsertTextHere»</w:t>
            </w:r>
            <w:r w:rsidRPr="001721D7">
              <w:rPr>
                <w:rFonts w:cs="Arial"/>
              </w:rPr>
              <w:fldChar w:fldCharType="end"/>
            </w:r>
          </w:p>
        </w:tc>
      </w:tr>
    </w:tbl>
    <w:p w:rsidR="00917473" w:rsidRDefault="00917473" w:rsidP="00917473">
      <w:pPr>
        <w:rPr>
          <w:rFonts w:cs="Arial"/>
        </w:rPr>
      </w:pPr>
    </w:p>
    <w:p w:rsidR="00B14B04" w:rsidRDefault="00B14B04" w:rsidP="00B14B04">
      <w:pPr>
        <w:ind w:left="720" w:hanging="720"/>
      </w:pPr>
      <w:r>
        <w:t>11.</w:t>
      </w:r>
      <w:r>
        <w:tab/>
        <w:t>Section 47 of the Conveyancing (Scotland) Act 1874 and section 15 of the Conveyancing (Scotland) Act 1924 should be repealed and not replaced.</w:t>
      </w:r>
    </w:p>
    <w:p w:rsidR="00B14B04" w:rsidRDefault="00B14B04" w:rsidP="00B14B04">
      <w:pPr>
        <w:jc w:val="right"/>
      </w:pPr>
      <w:r>
        <w:t>(Paragraph 3.49)</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B14B04">
        <w:tc>
          <w:tcPr>
            <w:tcW w:w="9245" w:type="dxa"/>
          </w:tcPr>
          <w:p w:rsidR="00917473" w:rsidRPr="001721D7" w:rsidRDefault="00917473" w:rsidP="006D6281">
            <w:pPr>
              <w:rPr>
                <w:rFonts w:cs="Arial"/>
              </w:rPr>
            </w:pPr>
            <w:r w:rsidRPr="001721D7">
              <w:rPr>
                <w:rFonts w:cs="Arial"/>
                <w:b/>
              </w:rPr>
              <w:t>Comments on Proposal 1</w:t>
            </w:r>
            <w:r>
              <w:rPr>
                <w:rFonts w:cs="Arial"/>
                <w:b/>
              </w:rPr>
              <w:t>1</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rPr>
      </w:pPr>
    </w:p>
    <w:p w:rsidR="00513B3B" w:rsidRDefault="00513B3B" w:rsidP="00513B3B">
      <w:pPr>
        <w:ind w:left="720" w:hanging="720"/>
      </w:pPr>
      <w:r>
        <w:t>12.</w:t>
      </w:r>
      <w:r>
        <w:tab/>
        <w:t>(a)</w:t>
      </w:r>
      <w:r>
        <w:tab/>
        <w:t>It should be competent for a standard security to secure monetary obligations which are owed or which may become owed in the future.</w:t>
      </w:r>
    </w:p>
    <w:p w:rsidR="00513B3B" w:rsidRDefault="00513B3B" w:rsidP="00513B3B">
      <w:pPr>
        <w:ind w:left="720"/>
      </w:pPr>
      <w:r>
        <w:t>(b)</w:t>
      </w:r>
      <w:r>
        <w:tab/>
        <w:t>A standard security should also secure ancillary obligations, in particular obligations to pay interest, damages and expenses (subject to rules governing what expenses are allowable).</w:t>
      </w:r>
    </w:p>
    <w:p w:rsidR="00917473" w:rsidRPr="00513B3B" w:rsidRDefault="00513B3B" w:rsidP="00513B3B">
      <w:pPr>
        <w:jc w:val="right"/>
      </w:pPr>
      <w:r>
        <w:t>(Paragraph 4.33)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6D6281">
        <w:tc>
          <w:tcPr>
            <w:tcW w:w="9245" w:type="dxa"/>
          </w:tcPr>
          <w:p w:rsidR="00917473" w:rsidRPr="001721D7" w:rsidRDefault="00917473" w:rsidP="006D6281">
            <w:pPr>
              <w:rPr>
                <w:rFonts w:cs="Arial"/>
              </w:rPr>
            </w:pPr>
            <w:r w:rsidRPr="001721D7">
              <w:rPr>
                <w:rFonts w:cs="Arial"/>
                <w:b/>
              </w:rPr>
              <w:t xml:space="preserve">Comments on Proposal </w:t>
            </w:r>
            <w:r>
              <w:rPr>
                <w:rFonts w:cs="Arial"/>
                <w:b/>
              </w:rPr>
              <w:t>1</w:t>
            </w:r>
            <w:r w:rsidRPr="001721D7">
              <w:rPr>
                <w:rFonts w:cs="Arial"/>
                <w:b/>
              </w:rPr>
              <w:t>2</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tabs>
          <w:tab w:val="clear" w:pos="2160"/>
        </w:tabs>
        <w:rPr>
          <w:rFonts w:cs="Arial"/>
        </w:rPr>
      </w:pPr>
    </w:p>
    <w:p w:rsidR="00513B3B" w:rsidRDefault="00513B3B" w:rsidP="00513B3B">
      <w:r>
        <w:t>13.</w:t>
      </w:r>
      <w:r>
        <w:tab/>
        <w:t>Which of the following approaches do consultees prefer?</w:t>
      </w:r>
    </w:p>
    <w:p w:rsidR="00513B3B" w:rsidRDefault="00513B3B" w:rsidP="00513B3B">
      <w:pPr>
        <w:ind w:left="720"/>
      </w:pPr>
      <w:r>
        <w:t>(a)</w:t>
      </w:r>
      <w:r>
        <w:tab/>
        <w:t xml:space="preserve">Standard securities should not be able to secure non-monetary obligations (but they may secure a damages claim in respect of such an obligation). </w:t>
      </w:r>
    </w:p>
    <w:p w:rsidR="00513B3B" w:rsidRDefault="00513B3B" w:rsidP="00513B3B">
      <w:pPr>
        <w:ind w:left="720"/>
      </w:pPr>
      <w:r>
        <w:t>(b)</w:t>
      </w:r>
      <w:r>
        <w:tab/>
        <w:t>Standard securities should be able to secure non-monetary obligations, but in such case it would be the damages claim for breach of the obligation which would actually be secured.</w:t>
      </w:r>
    </w:p>
    <w:p w:rsidR="00513B3B" w:rsidRDefault="00513B3B" w:rsidP="00513B3B">
      <w:pPr>
        <w:jc w:val="right"/>
      </w:pPr>
      <w:r>
        <w:lastRenderedPageBreak/>
        <w:t>(Paragraph 4.85)</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513B3B">
        <w:tc>
          <w:tcPr>
            <w:tcW w:w="9245" w:type="dxa"/>
          </w:tcPr>
          <w:p w:rsidR="00917473" w:rsidRPr="001721D7" w:rsidRDefault="00917473" w:rsidP="006D6281">
            <w:pPr>
              <w:rPr>
                <w:rFonts w:cs="Arial"/>
              </w:rPr>
            </w:pPr>
            <w:r w:rsidRPr="001721D7">
              <w:rPr>
                <w:rFonts w:cs="Arial"/>
                <w:b/>
              </w:rPr>
              <w:t xml:space="preserve">Comments on Proposal </w:t>
            </w:r>
            <w:r>
              <w:rPr>
                <w:rFonts w:cs="Arial"/>
                <w:b/>
              </w:rPr>
              <w:t>1</w:t>
            </w:r>
            <w:r w:rsidRPr="001721D7">
              <w:rPr>
                <w:rFonts w:cs="Arial"/>
                <w:b/>
              </w:rPr>
              <w:t>3</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pStyle w:val="Heading1"/>
        <w:numPr>
          <w:ilvl w:val="0"/>
          <w:numId w:val="0"/>
        </w:numPr>
        <w:rPr>
          <w:rFonts w:cs="Arial"/>
          <w:b/>
        </w:rPr>
      </w:pPr>
    </w:p>
    <w:p w:rsidR="00513B3B" w:rsidRDefault="00513B3B" w:rsidP="00513B3B">
      <w:pPr>
        <w:ind w:left="720" w:hanging="720"/>
      </w:pPr>
      <w:r>
        <w:t>14.</w:t>
      </w:r>
      <w:r>
        <w:tab/>
        <w:t>There should be a separate reform project in relation to making options and similar agreements enforceable against third parties by means of registration.  That review should consider other models, such as a special form of standard security which could secure non-monetary obligations and which would have special ranking and enforcement rules.</w:t>
      </w:r>
    </w:p>
    <w:p w:rsidR="00513B3B" w:rsidRDefault="00513B3B" w:rsidP="00513B3B">
      <w:pPr>
        <w:jc w:val="right"/>
      </w:pPr>
      <w:r>
        <w:t>(Paragraph 4.86)</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513B3B">
        <w:tc>
          <w:tcPr>
            <w:tcW w:w="9245" w:type="dxa"/>
          </w:tcPr>
          <w:p w:rsidR="00917473" w:rsidRPr="001721D7" w:rsidRDefault="00917473" w:rsidP="006D6281">
            <w:pPr>
              <w:rPr>
                <w:rFonts w:cs="Arial"/>
              </w:rPr>
            </w:pPr>
            <w:r w:rsidRPr="001721D7">
              <w:rPr>
                <w:rFonts w:cs="Arial"/>
                <w:b/>
              </w:rPr>
              <w:t xml:space="preserve">Comments on Proposal </w:t>
            </w:r>
            <w:r>
              <w:rPr>
                <w:rFonts w:cs="Arial"/>
                <w:b/>
              </w:rPr>
              <w:t>1</w:t>
            </w:r>
            <w:r w:rsidRPr="001721D7">
              <w:rPr>
                <w:rFonts w:cs="Arial"/>
                <w:b/>
              </w:rPr>
              <w:t>4</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b/>
        </w:rPr>
      </w:pPr>
    </w:p>
    <w:p w:rsidR="00513B3B" w:rsidRDefault="00513B3B" w:rsidP="00513B3B">
      <w:r>
        <w:t>15.</w:t>
      </w:r>
      <w:r>
        <w:tab/>
        <w:t>A standard security may only be granted over immoveable property.</w:t>
      </w:r>
    </w:p>
    <w:p w:rsidR="00513B3B" w:rsidRDefault="00513B3B" w:rsidP="00513B3B">
      <w:pPr>
        <w:jc w:val="right"/>
      </w:pPr>
      <w:r>
        <w:t>(Paragraph 5.4)</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513B3B">
        <w:tc>
          <w:tcPr>
            <w:tcW w:w="9245" w:type="dxa"/>
          </w:tcPr>
          <w:p w:rsidR="00917473" w:rsidRPr="001721D7" w:rsidRDefault="00917473" w:rsidP="006D6281">
            <w:pPr>
              <w:rPr>
                <w:rFonts w:cs="Arial"/>
              </w:rPr>
            </w:pPr>
            <w:r w:rsidRPr="001721D7">
              <w:rPr>
                <w:rFonts w:cs="Arial"/>
                <w:b/>
              </w:rPr>
              <w:t xml:space="preserve">Comments on Proposal </w:t>
            </w:r>
            <w:r>
              <w:rPr>
                <w:rFonts w:cs="Arial"/>
                <w:b/>
              </w:rPr>
              <w:t>1</w:t>
            </w:r>
            <w:r w:rsidRPr="001721D7">
              <w:rPr>
                <w:rFonts w:cs="Arial"/>
                <w:b/>
              </w:rPr>
              <w:t>5</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tabs>
          <w:tab w:val="clear" w:pos="720"/>
          <w:tab w:val="clear" w:pos="1440"/>
        </w:tabs>
        <w:jc w:val="left"/>
        <w:rPr>
          <w:rFonts w:cs="Arial"/>
        </w:rPr>
      </w:pPr>
    </w:p>
    <w:p w:rsidR="00513B3B" w:rsidRDefault="00513B3B" w:rsidP="00513B3B">
      <w:pPr>
        <w:ind w:left="720" w:hanging="720"/>
      </w:pPr>
      <w:r>
        <w:t>16.</w:t>
      </w:r>
      <w:r>
        <w:tab/>
        <w:t>(a)</w:t>
      </w:r>
      <w:r>
        <w:tab/>
        <w:t>The new legislation should use consistent terminology to refer to the property affected by a standard security.</w:t>
      </w:r>
    </w:p>
    <w:p w:rsidR="00513B3B" w:rsidRDefault="00513B3B" w:rsidP="00513B3B">
      <w:pPr>
        <w:ind w:left="720"/>
      </w:pPr>
      <w:r>
        <w:t>(b)</w:t>
      </w:r>
      <w:r>
        <w:tab/>
        <w:t>What term should be used?</w:t>
      </w:r>
    </w:p>
    <w:p w:rsidR="00513B3B" w:rsidRDefault="00513B3B" w:rsidP="00513B3B">
      <w:pPr>
        <w:jc w:val="right"/>
      </w:pPr>
      <w:r>
        <w:t>(Paragraph 5.9)</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513B3B">
        <w:tc>
          <w:tcPr>
            <w:tcW w:w="9245" w:type="dxa"/>
          </w:tcPr>
          <w:p w:rsidR="00917473" w:rsidRPr="001721D7" w:rsidRDefault="00917473" w:rsidP="006D6281">
            <w:pPr>
              <w:rPr>
                <w:rFonts w:cs="Arial"/>
              </w:rPr>
            </w:pPr>
            <w:r w:rsidRPr="001721D7">
              <w:rPr>
                <w:rFonts w:cs="Arial"/>
                <w:b/>
              </w:rPr>
              <w:t xml:space="preserve">Comments on Proposal </w:t>
            </w:r>
            <w:r>
              <w:rPr>
                <w:rFonts w:cs="Arial"/>
                <w:b/>
              </w:rPr>
              <w:t>1</w:t>
            </w:r>
            <w:r w:rsidRPr="001721D7">
              <w:rPr>
                <w:rFonts w:cs="Arial"/>
                <w:b/>
              </w:rPr>
              <w:t>6</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rPr>
      </w:pPr>
    </w:p>
    <w:p w:rsidR="00513B3B" w:rsidRDefault="00513B3B" w:rsidP="00513B3B">
      <w:pPr>
        <w:ind w:left="720" w:hanging="720"/>
      </w:pPr>
      <w:r>
        <w:t>17.</w:t>
      </w:r>
      <w:r>
        <w:tab/>
        <w:t>A standard security may not be granted over a real burden.</w:t>
      </w:r>
    </w:p>
    <w:p w:rsidR="00513B3B" w:rsidRDefault="00513B3B" w:rsidP="00513B3B">
      <w:pPr>
        <w:jc w:val="right"/>
      </w:pPr>
      <w:r>
        <w:t>(Paragraph 5.15)</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513B3B">
        <w:tc>
          <w:tcPr>
            <w:tcW w:w="9245" w:type="dxa"/>
          </w:tcPr>
          <w:p w:rsidR="00917473" w:rsidRPr="001721D7" w:rsidRDefault="00917473" w:rsidP="006D6281">
            <w:pPr>
              <w:rPr>
                <w:rFonts w:cs="Arial"/>
              </w:rPr>
            </w:pPr>
            <w:r w:rsidRPr="001721D7">
              <w:rPr>
                <w:rFonts w:cs="Arial"/>
                <w:b/>
              </w:rPr>
              <w:t xml:space="preserve">Comments on Proposal </w:t>
            </w:r>
            <w:r>
              <w:rPr>
                <w:rFonts w:cs="Arial"/>
                <w:b/>
              </w:rPr>
              <w:t>1</w:t>
            </w:r>
            <w:r w:rsidRPr="001721D7">
              <w:rPr>
                <w:rFonts w:cs="Arial"/>
                <w:b/>
              </w:rPr>
              <w:t>7</w:t>
            </w:r>
          </w:p>
          <w:p w:rsidR="00917473" w:rsidRPr="001721D7" w:rsidRDefault="00917473" w:rsidP="006D6281">
            <w:pPr>
              <w:rPr>
                <w:rFonts w:cs="Arial"/>
              </w:rPr>
            </w:pPr>
            <w:r w:rsidRPr="001721D7">
              <w:rPr>
                <w:rFonts w:cs="Arial"/>
              </w:rPr>
              <w:lastRenderedPageBreak/>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pStyle w:val="BodyText"/>
        <w:tabs>
          <w:tab w:val="left" w:pos="1440"/>
        </w:tabs>
        <w:spacing w:after="240" w:line="280" w:lineRule="exact"/>
        <w:jc w:val="both"/>
        <w:rPr>
          <w:rFonts w:cs="Arial"/>
        </w:rPr>
      </w:pPr>
    </w:p>
    <w:p w:rsidR="00513B3B" w:rsidRDefault="00513B3B" w:rsidP="00513B3B">
      <w:r>
        <w:t>18.</w:t>
      </w:r>
      <w:r>
        <w:tab/>
        <w:t>A standard security may not be granted over a proper liferent.</w:t>
      </w:r>
    </w:p>
    <w:p w:rsidR="00513B3B" w:rsidRDefault="00513B3B" w:rsidP="00513B3B">
      <w:pPr>
        <w:jc w:val="right"/>
      </w:pPr>
      <w:r>
        <w:t>(Paragraph 5.17)</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513B3B">
        <w:tc>
          <w:tcPr>
            <w:tcW w:w="9245" w:type="dxa"/>
          </w:tcPr>
          <w:p w:rsidR="00917473" w:rsidRPr="001721D7" w:rsidRDefault="00917473" w:rsidP="006D6281">
            <w:pPr>
              <w:rPr>
                <w:rFonts w:cs="Arial"/>
              </w:rPr>
            </w:pPr>
            <w:r w:rsidRPr="001721D7">
              <w:rPr>
                <w:rFonts w:cs="Arial"/>
                <w:b/>
              </w:rPr>
              <w:t xml:space="preserve">Comments on Proposal </w:t>
            </w:r>
            <w:r>
              <w:rPr>
                <w:rFonts w:cs="Arial"/>
                <w:b/>
              </w:rPr>
              <w:t>1</w:t>
            </w:r>
            <w:r w:rsidRPr="001721D7">
              <w:rPr>
                <w:rFonts w:cs="Arial"/>
                <w:b/>
              </w:rPr>
              <w:t>8</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rPr>
      </w:pPr>
    </w:p>
    <w:p w:rsidR="00513B3B" w:rsidRDefault="00513B3B" w:rsidP="00513B3B">
      <w:pPr>
        <w:ind w:left="720" w:hanging="720"/>
      </w:pPr>
      <w:r>
        <w:t>19.</w:t>
      </w:r>
      <w:r>
        <w:tab/>
        <w:t>(a)</w:t>
      </w:r>
      <w:r>
        <w:tab/>
        <w:t>A standard security may be granted over a lease, where that lease has been recorded in the Register of Sasines or registered in the Land Register as appropriate.</w:t>
      </w:r>
    </w:p>
    <w:p w:rsidR="00513B3B" w:rsidRPr="002A3DC4" w:rsidRDefault="00513B3B" w:rsidP="00513B3B">
      <w:pPr>
        <w:pStyle w:val="NumberedParagraph"/>
        <w:numPr>
          <w:ilvl w:val="0"/>
          <w:numId w:val="0"/>
        </w:numPr>
        <w:rPr>
          <w:rFonts w:ascii="Arial" w:hAnsi="Arial" w:cs="Arial"/>
          <w:sz w:val="22"/>
          <w:szCs w:val="22"/>
        </w:rPr>
      </w:pPr>
      <w:r>
        <w:rPr>
          <w:b/>
        </w:rPr>
        <w:tab/>
      </w:r>
      <w:r w:rsidRPr="002A3DC4">
        <w:rPr>
          <w:rFonts w:ascii="Arial" w:hAnsi="Arial" w:cs="Arial"/>
          <w:sz w:val="22"/>
          <w:szCs w:val="22"/>
        </w:rPr>
        <w:t>(b)</w:t>
      </w:r>
      <w:r w:rsidRPr="002A3DC4">
        <w:rPr>
          <w:rFonts w:ascii="Arial" w:hAnsi="Arial" w:cs="Arial"/>
          <w:sz w:val="22"/>
          <w:szCs w:val="22"/>
        </w:rPr>
        <w:tab/>
        <w:t>A standard security may not be granted over any other lease.</w:t>
      </w:r>
    </w:p>
    <w:p w:rsidR="00513B3B" w:rsidRDefault="00513B3B" w:rsidP="00513B3B">
      <w:pPr>
        <w:jc w:val="right"/>
      </w:pPr>
      <w:r>
        <w:t>(Paragraph 5.24)</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513B3B">
        <w:tc>
          <w:tcPr>
            <w:tcW w:w="9245" w:type="dxa"/>
          </w:tcPr>
          <w:p w:rsidR="00917473" w:rsidRPr="001721D7" w:rsidRDefault="00917473" w:rsidP="006D6281">
            <w:pPr>
              <w:rPr>
                <w:rFonts w:cs="Arial"/>
              </w:rPr>
            </w:pPr>
            <w:r w:rsidRPr="001721D7">
              <w:rPr>
                <w:rFonts w:cs="Arial"/>
                <w:b/>
              </w:rPr>
              <w:t xml:space="preserve">Comments on Proposal </w:t>
            </w:r>
            <w:r>
              <w:rPr>
                <w:rFonts w:cs="Arial"/>
                <w:b/>
              </w:rPr>
              <w:t>1</w:t>
            </w:r>
            <w:r w:rsidRPr="001721D7">
              <w:rPr>
                <w:rFonts w:cs="Arial"/>
                <w:b/>
              </w:rPr>
              <w:t>9</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rPr>
      </w:pPr>
    </w:p>
    <w:p w:rsidR="00513B3B" w:rsidRDefault="00513B3B" w:rsidP="00513B3B">
      <w:pPr>
        <w:ind w:left="720" w:hanging="720"/>
      </w:pPr>
      <w:r>
        <w:t>20.</w:t>
      </w:r>
      <w:r>
        <w:tab/>
        <w:t>(a)</w:t>
      </w:r>
      <w:r>
        <w:tab/>
        <w:t>Should it continue to be possible to create a standard security over a standard security or would it be preferable to allow a standard security to be assigned in security?</w:t>
      </w:r>
    </w:p>
    <w:p w:rsidR="00513B3B" w:rsidRDefault="00513B3B" w:rsidP="00513B3B">
      <w:r>
        <w:tab/>
        <w:t>(b)</w:t>
      </w:r>
      <w:r>
        <w:tab/>
        <w:t>In either case what should be the rules on enforcement?</w:t>
      </w:r>
    </w:p>
    <w:p w:rsidR="00513B3B" w:rsidRDefault="00513B3B" w:rsidP="00513B3B">
      <w:pPr>
        <w:jc w:val="right"/>
      </w:pPr>
      <w:r>
        <w:t>(Paragraph 5.30)</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513B3B">
        <w:tc>
          <w:tcPr>
            <w:tcW w:w="9245" w:type="dxa"/>
          </w:tcPr>
          <w:p w:rsidR="00917473" w:rsidRPr="001721D7" w:rsidRDefault="00917473" w:rsidP="006D6281">
            <w:pPr>
              <w:rPr>
                <w:rFonts w:cs="Arial"/>
              </w:rPr>
            </w:pPr>
            <w:r>
              <w:rPr>
                <w:rFonts w:cs="Arial"/>
                <w:b/>
              </w:rPr>
              <w:t>Comments on Proposal 2</w:t>
            </w:r>
            <w:r w:rsidRPr="001721D7">
              <w:rPr>
                <w:rFonts w:cs="Arial"/>
                <w:b/>
              </w:rPr>
              <w:t>0</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Default="00917473" w:rsidP="00917473">
      <w:pPr>
        <w:rPr>
          <w:rFonts w:cs="Arial"/>
        </w:rPr>
      </w:pPr>
    </w:p>
    <w:p w:rsidR="00513B3B" w:rsidRDefault="00513B3B" w:rsidP="00513B3B">
      <w:pPr>
        <w:ind w:left="720" w:hanging="720"/>
      </w:pPr>
      <w:r>
        <w:t>21.</w:t>
      </w:r>
      <w:r>
        <w:tab/>
        <w:t>Are there other types of immoveable property over which it should be possible to grant a standard security?</w:t>
      </w:r>
    </w:p>
    <w:p w:rsidR="00513B3B" w:rsidRDefault="00513B3B" w:rsidP="00513B3B">
      <w:pPr>
        <w:jc w:val="right"/>
      </w:pPr>
      <w:r>
        <w:t>(Paragraph 5.31)</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513B3B">
        <w:tc>
          <w:tcPr>
            <w:tcW w:w="9245" w:type="dxa"/>
          </w:tcPr>
          <w:p w:rsidR="00917473" w:rsidRPr="001721D7" w:rsidRDefault="00917473" w:rsidP="006D6281">
            <w:pPr>
              <w:rPr>
                <w:rFonts w:cs="Arial"/>
              </w:rPr>
            </w:pPr>
            <w:r w:rsidRPr="001721D7">
              <w:rPr>
                <w:rFonts w:cs="Arial"/>
                <w:b/>
              </w:rPr>
              <w:t xml:space="preserve">Comments on Proposal </w:t>
            </w:r>
            <w:r>
              <w:rPr>
                <w:rFonts w:cs="Arial"/>
                <w:b/>
              </w:rPr>
              <w:t>2</w:t>
            </w:r>
            <w:r w:rsidRPr="001721D7">
              <w:rPr>
                <w:rFonts w:cs="Arial"/>
                <w:b/>
              </w:rPr>
              <w:t>1</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rPr>
      </w:pPr>
    </w:p>
    <w:p w:rsidR="00513B3B" w:rsidRDefault="00513B3B" w:rsidP="00513B3B">
      <w:pPr>
        <w:ind w:left="720" w:hanging="720"/>
      </w:pPr>
      <w:r>
        <w:lastRenderedPageBreak/>
        <w:t>22.</w:t>
      </w:r>
      <w:r>
        <w:tab/>
        <w:t>(a)</w:t>
      </w:r>
      <w:r>
        <w:tab/>
        <w:t>The secured obligation should be a matter for the parties to a standard security and no longer be the subject of default provisions.</w:t>
      </w:r>
    </w:p>
    <w:p w:rsidR="00513B3B" w:rsidRDefault="00513B3B" w:rsidP="00513B3B">
      <w:pPr>
        <w:ind w:left="720"/>
      </w:pPr>
      <w:r>
        <w:t>(b)</w:t>
      </w:r>
      <w:r>
        <w:tab/>
        <w:t>Form A should be abolished.</w:t>
      </w:r>
    </w:p>
    <w:p w:rsidR="00513B3B" w:rsidRDefault="00513B3B" w:rsidP="00513B3B">
      <w:pPr>
        <w:jc w:val="right"/>
      </w:pPr>
      <w:r>
        <w:t>(Paragraph 6.30)</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513B3B">
        <w:tc>
          <w:tcPr>
            <w:tcW w:w="9245" w:type="dxa"/>
          </w:tcPr>
          <w:p w:rsidR="00917473" w:rsidRPr="001721D7" w:rsidRDefault="00917473" w:rsidP="006D6281">
            <w:pPr>
              <w:rPr>
                <w:rFonts w:cs="Arial"/>
              </w:rPr>
            </w:pPr>
            <w:r w:rsidRPr="001721D7">
              <w:rPr>
                <w:rFonts w:cs="Arial"/>
                <w:b/>
              </w:rPr>
              <w:t xml:space="preserve">Comments on Proposal </w:t>
            </w:r>
            <w:r>
              <w:rPr>
                <w:rFonts w:cs="Arial"/>
                <w:b/>
              </w:rPr>
              <w:t>2</w:t>
            </w:r>
            <w:r w:rsidRPr="001721D7">
              <w:rPr>
                <w:rFonts w:cs="Arial"/>
                <w:b/>
              </w:rPr>
              <w:t>2</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tabs>
          <w:tab w:val="clear" w:pos="2160"/>
        </w:tabs>
        <w:rPr>
          <w:rFonts w:cs="Arial"/>
        </w:rPr>
      </w:pPr>
    </w:p>
    <w:p w:rsidR="00513B3B" w:rsidRDefault="00513B3B" w:rsidP="00513B3B">
      <w:pPr>
        <w:ind w:left="720" w:hanging="720"/>
      </w:pPr>
      <w:r>
        <w:t>23.</w:t>
      </w:r>
      <w:r>
        <w:tab/>
        <w:t>There should no longer be a statutory form of standard security.  Form B, like form A should be abolished. Instead, the constitutive document of a standard security should require to:</w:t>
      </w:r>
    </w:p>
    <w:p w:rsidR="00513B3B" w:rsidRDefault="00513B3B" w:rsidP="00513B3B">
      <w:pPr>
        <w:ind w:left="720"/>
      </w:pPr>
      <w:r>
        <w:t>(a)</w:t>
      </w:r>
      <w:r>
        <w:tab/>
        <w:t>be signed by the debtor;</w:t>
      </w:r>
    </w:p>
    <w:p w:rsidR="00513B3B" w:rsidRDefault="00513B3B" w:rsidP="00513B3B">
      <w:pPr>
        <w:ind w:left="720"/>
      </w:pPr>
      <w:r>
        <w:t>(b)</w:t>
      </w:r>
      <w:r>
        <w:tab/>
        <w:t>identify the property which is to be the encumbered property;</w:t>
      </w:r>
    </w:p>
    <w:p w:rsidR="00513B3B" w:rsidRDefault="00513B3B" w:rsidP="00513B3B">
      <w:pPr>
        <w:ind w:left="720"/>
      </w:pPr>
      <w:r>
        <w:t>(c)</w:t>
      </w:r>
      <w:r>
        <w:tab/>
        <w:t>identify the secured obligation; and</w:t>
      </w:r>
    </w:p>
    <w:p w:rsidR="00513B3B" w:rsidRDefault="00513B3B" w:rsidP="00513B3B">
      <w:pPr>
        <w:ind w:left="720"/>
      </w:pPr>
      <w:r>
        <w:t>(d)</w:t>
      </w:r>
      <w:r>
        <w:tab/>
        <w:t>use the words “standard security”.</w:t>
      </w:r>
    </w:p>
    <w:p w:rsidR="00513B3B" w:rsidRDefault="00513B3B" w:rsidP="00513B3B">
      <w:pPr>
        <w:jc w:val="right"/>
      </w:pPr>
      <w:r>
        <w:t>(Paragraph 6.37)</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513B3B">
        <w:tc>
          <w:tcPr>
            <w:tcW w:w="9245" w:type="dxa"/>
          </w:tcPr>
          <w:p w:rsidR="00917473" w:rsidRPr="001721D7" w:rsidRDefault="00917473" w:rsidP="006D6281">
            <w:pPr>
              <w:rPr>
                <w:rFonts w:cs="Arial"/>
              </w:rPr>
            </w:pPr>
            <w:r w:rsidRPr="001721D7">
              <w:rPr>
                <w:rFonts w:cs="Arial"/>
                <w:b/>
              </w:rPr>
              <w:t xml:space="preserve">Comments on Proposal </w:t>
            </w:r>
            <w:r>
              <w:rPr>
                <w:rFonts w:cs="Arial"/>
                <w:b/>
              </w:rPr>
              <w:t>2</w:t>
            </w:r>
            <w:r w:rsidRPr="001721D7">
              <w:rPr>
                <w:rFonts w:cs="Arial"/>
                <w:b/>
              </w:rPr>
              <w:t>3</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pStyle w:val="Heading1"/>
        <w:numPr>
          <w:ilvl w:val="0"/>
          <w:numId w:val="0"/>
        </w:numPr>
        <w:rPr>
          <w:rFonts w:cs="Arial"/>
          <w:b/>
        </w:rPr>
      </w:pPr>
    </w:p>
    <w:p w:rsidR="00513B3B" w:rsidRDefault="00513B3B" w:rsidP="00513B3B">
      <w:r>
        <w:t>24.</w:t>
      </w:r>
      <w:r>
        <w:tab/>
        <w:t>Should a non-obligatory model form of a standard security document be provided?</w:t>
      </w:r>
    </w:p>
    <w:p w:rsidR="00513B3B" w:rsidRDefault="00513B3B" w:rsidP="00513B3B">
      <w:pPr>
        <w:jc w:val="right"/>
      </w:pPr>
      <w:r>
        <w:t>(Paragraph 6.38)</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513B3B">
        <w:tc>
          <w:tcPr>
            <w:tcW w:w="9245" w:type="dxa"/>
          </w:tcPr>
          <w:p w:rsidR="00917473" w:rsidRPr="001721D7" w:rsidRDefault="00917473" w:rsidP="006D6281">
            <w:pPr>
              <w:rPr>
                <w:rFonts w:cs="Arial"/>
              </w:rPr>
            </w:pPr>
            <w:r w:rsidRPr="001721D7">
              <w:rPr>
                <w:rFonts w:cs="Arial"/>
                <w:b/>
              </w:rPr>
              <w:t xml:space="preserve">Comments on Proposal </w:t>
            </w:r>
            <w:r>
              <w:rPr>
                <w:rFonts w:cs="Arial"/>
                <w:b/>
              </w:rPr>
              <w:t>2</w:t>
            </w:r>
            <w:r w:rsidRPr="001721D7">
              <w:rPr>
                <w:rFonts w:cs="Arial"/>
                <w:b/>
              </w:rPr>
              <w:t>4</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b/>
        </w:rPr>
      </w:pPr>
    </w:p>
    <w:p w:rsidR="00513B3B" w:rsidRDefault="00513B3B" w:rsidP="00513B3B">
      <w:pPr>
        <w:ind w:left="720" w:hanging="720"/>
      </w:pPr>
      <w:r>
        <w:t>25.</w:t>
      </w:r>
      <w:r>
        <w:tab/>
        <w:t>What comments do consultees have in relation to identification of the encumbered property?</w:t>
      </w:r>
    </w:p>
    <w:p w:rsidR="00513B3B" w:rsidRDefault="00513B3B" w:rsidP="00513B3B">
      <w:pPr>
        <w:jc w:val="right"/>
      </w:pPr>
      <w:r>
        <w:t>(Paragraph 6.42)</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513B3B">
        <w:tc>
          <w:tcPr>
            <w:tcW w:w="9245" w:type="dxa"/>
          </w:tcPr>
          <w:p w:rsidR="00917473" w:rsidRPr="001721D7" w:rsidRDefault="00917473" w:rsidP="006D6281">
            <w:pPr>
              <w:rPr>
                <w:rFonts w:cs="Arial"/>
              </w:rPr>
            </w:pPr>
            <w:r w:rsidRPr="001721D7">
              <w:rPr>
                <w:rFonts w:cs="Arial"/>
                <w:b/>
              </w:rPr>
              <w:t xml:space="preserve">Comments on Proposal </w:t>
            </w:r>
            <w:r>
              <w:rPr>
                <w:rFonts w:cs="Arial"/>
                <w:b/>
              </w:rPr>
              <w:t>2</w:t>
            </w:r>
            <w:r w:rsidRPr="001721D7">
              <w:rPr>
                <w:rFonts w:cs="Arial"/>
                <w:b/>
              </w:rPr>
              <w:t>5</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tabs>
          <w:tab w:val="clear" w:pos="720"/>
          <w:tab w:val="clear" w:pos="1440"/>
        </w:tabs>
        <w:jc w:val="left"/>
        <w:rPr>
          <w:rFonts w:cs="Arial"/>
        </w:rPr>
      </w:pPr>
    </w:p>
    <w:p w:rsidR="00586553" w:rsidRDefault="00586553" w:rsidP="00586553">
      <w:pPr>
        <w:ind w:left="720" w:hanging="720"/>
      </w:pPr>
      <w:r>
        <w:t>26.</w:t>
      </w:r>
      <w:r>
        <w:tab/>
        <w:t>What comments do consultees have in relation to identification of the secured obligation?</w:t>
      </w:r>
    </w:p>
    <w:p w:rsidR="00586553" w:rsidRDefault="00586553" w:rsidP="00586553">
      <w:pPr>
        <w:jc w:val="right"/>
      </w:pPr>
      <w:r>
        <w:t>(Paragraph 6.43)</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586553">
        <w:tc>
          <w:tcPr>
            <w:tcW w:w="9245" w:type="dxa"/>
          </w:tcPr>
          <w:p w:rsidR="00917473" w:rsidRPr="001721D7" w:rsidRDefault="00917473" w:rsidP="006D6281">
            <w:pPr>
              <w:rPr>
                <w:rFonts w:cs="Arial"/>
              </w:rPr>
            </w:pPr>
            <w:r w:rsidRPr="001721D7">
              <w:rPr>
                <w:rFonts w:cs="Arial"/>
                <w:b/>
              </w:rPr>
              <w:t xml:space="preserve">Comments on Proposal </w:t>
            </w:r>
            <w:r>
              <w:rPr>
                <w:rFonts w:cs="Arial"/>
                <w:b/>
              </w:rPr>
              <w:t>2</w:t>
            </w:r>
            <w:r w:rsidRPr="001721D7">
              <w:rPr>
                <w:rFonts w:cs="Arial"/>
                <w:b/>
              </w:rPr>
              <w:t>6</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rPr>
      </w:pPr>
    </w:p>
    <w:p w:rsidR="00586553" w:rsidRDefault="00586553" w:rsidP="00586553">
      <w:pPr>
        <w:ind w:left="720" w:hanging="720"/>
      </w:pPr>
      <w:r>
        <w:t>27.</w:t>
      </w:r>
      <w:r>
        <w:tab/>
        <w:t>Should it continue to be possible for unregistered holders to grant standard securities?</w:t>
      </w:r>
    </w:p>
    <w:p w:rsidR="00586553" w:rsidRDefault="00586553" w:rsidP="00586553">
      <w:pPr>
        <w:jc w:val="right"/>
      </w:pPr>
      <w:r>
        <w:t>(Paragraph 6.47)</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586553">
        <w:tc>
          <w:tcPr>
            <w:tcW w:w="9245" w:type="dxa"/>
          </w:tcPr>
          <w:p w:rsidR="00917473" w:rsidRPr="001721D7" w:rsidRDefault="00917473" w:rsidP="006D6281">
            <w:pPr>
              <w:rPr>
                <w:rFonts w:cs="Arial"/>
              </w:rPr>
            </w:pPr>
            <w:r w:rsidRPr="001721D7">
              <w:rPr>
                <w:rFonts w:cs="Arial"/>
                <w:b/>
              </w:rPr>
              <w:t xml:space="preserve">Comments on Proposal </w:t>
            </w:r>
            <w:r>
              <w:rPr>
                <w:rFonts w:cs="Arial"/>
                <w:b/>
              </w:rPr>
              <w:t>2</w:t>
            </w:r>
            <w:r w:rsidRPr="001721D7">
              <w:rPr>
                <w:rFonts w:cs="Arial"/>
                <w:b/>
              </w:rPr>
              <w:t>7</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pStyle w:val="BodyText"/>
        <w:tabs>
          <w:tab w:val="left" w:pos="1440"/>
        </w:tabs>
        <w:spacing w:after="240" w:line="280" w:lineRule="exact"/>
        <w:jc w:val="both"/>
        <w:rPr>
          <w:rFonts w:cs="Arial"/>
        </w:rPr>
      </w:pPr>
    </w:p>
    <w:p w:rsidR="00586553" w:rsidRDefault="00586553" w:rsidP="00586553">
      <w:r>
        <w:t>28.</w:t>
      </w:r>
      <w:r>
        <w:tab/>
        <w:t>A standard security should continue to be made real by registration.</w:t>
      </w:r>
    </w:p>
    <w:p w:rsidR="00586553" w:rsidRDefault="00586553" w:rsidP="00586553">
      <w:pPr>
        <w:jc w:val="right"/>
      </w:pPr>
      <w:r>
        <w:t>(Paragraph 6.49)</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586553">
        <w:tc>
          <w:tcPr>
            <w:tcW w:w="9245" w:type="dxa"/>
          </w:tcPr>
          <w:p w:rsidR="00917473" w:rsidRPr="001721D7" w:rsidRDefault="00917473" w:rsidP="006D6281">
            <w:pPr>
              <w:rPr>
                <w:rFonts w:cs="Arial"/>
              </w:rPr>
            </w:pPr>
            <w:r w:rsidRPr="001721D7">
              <w:rPr>
                <w:rFonts w:cs="Arial"/>
                <w:b/>
              </w:rPr>
              <w:t xml:space="preserve">Comments on Proposal </w:t>
            </w:r>
            <w:r>
              <w:rPr>
                <w:rFonts w:cs="Arial"/>
                <w:b/>
              </w:rPr>
              <w:t>2</w:t>
            </w:r>
            <w:r w:rsidRPr="001721D7">
              <w:rPr>
                <w:rFonts w:cs="Arial"/>
                <w:b/>
              </w:rPr>
              <w:t>8</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rPr>
      </w:pPr>
    </w:p>
    <w:p w:rsidR="00586553" w:rsidRDefault="00586553" w:rsidP="00586553">
      <w:pPr>
        <w:ind w:left="720" w:hanging="720"/>
      </w:pPr>
      <w:r>
        <w:t>29.</w:t>
      </w:r>
      <w:r>
        <w:tab/>
        <w:t xml:space="preserve">The power under section 893 of the Companies Act 2006 should be used so that standard securities granted by companies do not require to be registered twice. </w:t>
      </w:r>
    </w:p>
    <w:p w:rsidR="00586553" w:rsidRDefault="00586553" w:rsidP="00586553">
      <w:pPr>
        <w:jc w:val="right"/>
      </w:pPr>
      <w:r>
        <w:t>(Paragraph 6.53)</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586553">
        <w:tc>
          <w:tcPr>
            <w:tcW w:w="9245" w:type="dxa"/>
          </w:tcPr>
          <w:p w:rsidR="00917473" w:rsidRPr="001721D7" w:rsidRDefault="00917473" w:rsidP="006D6281">
            <w:pPr>
              <w:rPr>
                <w:rFonts w:cs="Arial"/>
              </w:rPr>
            </w:pPr>
            <w:r w:rsidRPr="001721D7">
              <w:rPr>
                <w:rFonts w:cs="Arial"/>
                <w:b/>
              </w:rPr>
              <w:t xml:space="preserve">Comments on Proposal </w:t>
            </w:r>
            <w:r>
              <w:rPr>
                <w:rFonts w:cs="Arial"/>
                <w:b/>
              </w:rPr>
              <w:t>2</w:t>
            </w:r>
            <w:r w:rsidRPr="001721D7">
              <w:rPr>
                <w:rFonts w:cs="Arial"/>
                <w:b/>
              </w:rPr>
              <w:t>9</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rPr>
      </w:pPr>
    </w:p>
    <w:p w:rsidR="00586553" w:rsidRDefault="00586553" w:rsidP="00586553">
      <w:pPr>
        <w:ind w:left="720" w:hanging="720"/>
      </w:pPr>
      <w:r>
        <w:t>30.</w:t>
      </w:r>
      <w:r>
        <w:tab/>
        <w:t>What comments do consultees have on whether it should be permissible to create a servitude in a standard security deed?</w:t>
      </w:r>
    </w:p>
    <w:p w:rsidR="00586553" w:rsidRDefault="00586553" w:rsidP="00586553">
      <w:pPr>
        <w:jc w:val="right"/>
      </w:pPr>
      <w:r>
        <w:t>(Paragraph 6.56)</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586553">
        <w:tc>
          <w:tcPr>
            <w:tcW w:w="9245" w:type="dxa"/>
          </w:tcPr>
          <w:p w:rsidR="00917473" w:rsidRPr="001721D7" w:rsidRDefault="00917473" w:rsidP="006D6281">
            <w:pPr>
              <w:rPr>
                <w:rFonts w:cs="Arial"/>
              </w:rPr>
            </w:pPr>
            <w:r>
              <w:rPr>
                <w:rFonts w:cs="Arial"/>
                <w:b/>
              </w:rPr>
              <w:t>Comments on Proposal 3</w:t>
            </w:r>
            <w:r w:rsidRPr="001721D7">
              <w:rPr>
                <w:rFonts w:cs="Arial"/>
                <w:b/>
              </w:rPr>
              <w:t>0</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Default="00917473" w:rsidP="00917473">
      <w:pPr>
        <w:rPr>
          <w:rFonts w:cs="Arial"/>
        </w:rPr>
      </w:pPr>
    </w:p>
    <w:p w:rsidR="00A72A4F" w:rsidRDefault="00A72A4F" w:rsidP="00A72A4F">
      <w:pPr>
        <w:ind w:left="720" w:hanging="720"/>
      </w:pPr>
      <w:r>
        <w:t>31.</w:t>
      </w:r>
      <w:r>
        <w:tab/>
        <w:t xml:space="preserve">Rules on enforcement (including the recovery of expenses by the creditor) and redemption in relation to a standard security should not be dealt with in standard conditions but in the substantive provisions of the new legislation. </w:t>
      </w:r>
    </w:p>
    <w:p w:rsidR="00A72A4F" w:rsidRDefault="00A72A4F" w:rsidP="00A72A4F">
      <w:pPr>
        <w:jc w:val="right"/>
      </w:pPr>
      <w:r>
        <w:t>(Paragraph 7.39)</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6D6281">
            <w:pPr>
              <w:rPr>
                <w:rFonts w:cs="Arial"/>
              </w:rPr>
            </w:pPr>
            <w:r w:rsidRPr="001721D7">
              <w:rPr>
                <w:rFonts w:cs="Arial"/>
                <w:b/>
              </w:rPr>
              <w:t xml:space="preserve">Comments on Proposal </w:t>
            </w:r>
            <w:r>
              <w:rPr>
                <w:rFonts w:cs="Arial"/>
                <w:b/>
              </w:rPr>
              <w:t>3</w:t>
            </w:r>
            <w:r w:rsidRPr="001721D7">
              <w:rPr>
                <w:rFonts w:cs="Arial"/>
                <w:b/>
              </w:rPr>
              <w:t>1</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rPr>
      </w:pPr>
    </w:p>
    <w:p w:rsidR="00A72A4F" w:rsidRDefault="00A72A4F" w:rsidP="00A72A4F">
      <w:pPr>
        <w:ind w:left="720" w:hanging="720"/>
      </w:pPr>
      <w:r>
        <w:t>32.</w:t>
      </w:r>
      <w:r>
        <w:tab/>
        <w:t>Statute should provide for a freely variable default set of standard conditions in relation to preservation of the value of the encumbered property and expenses (other than in relation to enforcement).  If consultees agree:</w:t>
      </w:r>
    </w:p>
    <w:p w:rsidR="00A72A4F" w:rsidRDefault="00A72A4F" w:rsidP="002A3DC4">
      <w:pPr>
        <w:ind w:left="720"/>
      </w:pPr>
      <w:r>
        <w:t>(a)</w:t>
      </w:r>
      <w:r>
        <w:tab/>
        <w:t>should these conditions be set out in primary or secondary legislation?</w:t>
      </w:r>
    </w:p>
    <w:p w:rsidR="00A72A4F" w:rsidRDefault="00A72A4F" w:rsidP="00A72A4F">
      <w:pPr>
        <w:ind w:left="720"/>
      </w:pPr>
      <w:r>
        <w:t>(b)</w:t>
      </w:r>
      <w:r>
        <w:tab/>
        <w:t>what default conditions should be included?</w:t>
      </w:r>
    </w:p>
    <w:p w:rsidR="00A72A4F" w:rsidRDefault="00A72A4F" w:rsidP="00A72A4F">
      <w:pPr>
        <w:jc w:val="right"/>
      </w:pPr>
      <w:r>
        <w:t>(Paragraph 7.49)</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6D6281">
            <w:pPr>
              <w:rPr>
                <w:rFonts w:cs="Arial"/>
              </w:rPr>
            </w:pPr>
            <w:r w:rsidRPr="001721D7">
              <w:rPr>
                <w:rFonts w:cs="Arial"/>
                <w:b/>
              </w:rPr>
              <w:t xml:space="preserve">Comments on Proposal </w:t>
            </w:r>
            <w:r>
              <w:rPr>
                <w:rFonts w:cs="Arial"/>
                <w:b/>
              </w:rPr>
              <w:t>3</w:t>
            </w:r>
            <w:r w:rsidRPr="001721D7">
              <w:rPr>
                <w:rFonts w:cs="Arial"/>
                <w:b/>
              </w:rPr>
              <w:t>2</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tabs>
          <w:tab w:val="clear" w:pos="2160"/>
        </w:tabs>
        <w:rPr>
          <w:rFonts w:cs="Arial"/>
        </w:rPr>
      </w:pPr>
    </w:p>
    <w:p w:rsidR="00A72A4F" w:rsidRDefault="00A72A4F" w:rsidP="00A72A4F">
      <w:r>
        <w:t>33.</w:t>
      </w:r>
      <w:r>
        <w:tab/>
        <w:t>The standard conditions should be abolished, but statute should set out:</w:t>
      </w:r>
    </w:p>
    <w:p w:rsidR="00A72A4F" w:rsidRDefault="00A72A4F" w:rsidP="00A72A4F">
      <w:pPr>
        <w:ind w:left="720"/>
      </w:pPr>
      <w:r>
        <w:t>(a)</w:t>
      </w:r>
      <w:r>
        <w:tab/>
        <w:t>a broad rule requiring the debtor to preserve the value of the encumbered property;</w:t>
      </w:r>
    </w:p>
    <w:p w:rsidR="00A72A4F" w:rsidRDefault="00A72A4F" w:rsidP="00A72A4F">
      <w:pPr>
        <w:ind w:left="720"/>
      </w:pPr>
      <w:r>
        <w:t>(b)</w:t>
      </w:r>
      <w:r>
        <w:tab/>
        <w:t>a default rule that the debtor should be liable for the creditor’s reasonable expenses (with enforcement expenses being dealt with separately in terms of the rules on enforcement); and</w:t>
      </w:r>
    </w:p>
    <w:p w:rsidR="00A72A4F" w:rsidRDefault="00A72A4F" w:rsidP="00A72A4F">
      <w:pPr>
        <w:ind w:left="720"/>
      </w:pPr>
      <w:r>
        <w:t>(c)</w:t>
      </w:r>
      <w:r>
        <w:tab/>
        <w:t xml:space="preserve">a default rule allowing the creditor either to (i) require the debtor to insure the property for reinstatement value or to (ii) insure the property directly. </w:t>
      </w:r>
    </w:p>
    <w:p w:rsidR="00A72A4F" w:rsidRDefault="00A72A4F" w:rsidP="00A72A4F">
      <w:pPr>
        <w:ind w:left="720"/>
      </w:pPr>
      <w:r>
        <w:t>Should there be any additional rules?</w:t>
      </w:r>
    </w:p>
    <w:p w:rsidR="00A72A4F" w:rsidRDefault="00A72A4F" w:rsidP="00A72A4F">
      <w:pPr>
        <w:jc w:val="right"/>
      </w:pPr>
      <w:r>
        <w:t>(Paragraph 7.49)</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6D6281">
            <w:pPr>
              <w:rPr>
                <w:rFonts w:cs="Arial"/>
              </w:rPr>
            </w:pPr>
            <w:r w:rsidRPr="001721D7">
              <w:rPr>
                <w:rFonts w:cs="Arial"/>
                <w:b/>
              </w:rPr>
              <w:t xml:space="preserve">Comments on Proposal </w:t>
            </w:r>
            <w:r>
              <w:rPr>
                <w:rFonts w:cs="Arial"/>
                <w:b/>
              </w:rPr>
              <w:t>3</w:t>
            </w:r>
            <w:r w:rsidRPr="001721D7">
              <w:rPr>
                <w:rFonts w:cs="Arial"/>
                <w:b/>
              </w:rPr>
              <w:t>3</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pStyle w:val="Heading1"/>
        <w:numPr>
          <w:ilvl w:val="0"/>
          <w:numId w:val="0"/>
        </w:numPr>
        <w:rPr>
          <w:rFonts w:cs="Arial"/>
          <w:b/>
        </w:rPr>
      </w:pPr>
    </w:p>
    <w:p w:rsidR="00A72A4F" w:rsidRDefault="00A72A4F" w:rsidP="00A72A4F">
      <w:pPr>
        <w:ind w:left="720" w:hanging="720"/>
      </w:pPr>
      <w:r>
        <w:lastRenderedPageBreak/>
        <w:t>34.</w:t>
      </w:r>
      <w:r>
        <w:tab/>
        <w:t>Where property which is encumbered by a standard security has a lease granted over it without the creditor’s consent, the secured creditor should be entitled to remove the tenant if the security is enforced.</w:t>
      </w:r>
    </w:p>
    <w:p w:rsidR="00A72A4F" w:rsidRDefault="00A72A4F" w:rsidP="00A72A4F">
      <w:pPr>
        <w:jc w:val="right"/>
      </w:pPr>
      <w:r>
        <w:t>(Paragraph 8.37)</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6D6281">
            <w:pPr>
              <w:rPr>
                <w:rFonts w:cs="Arial"/>
              </w:rPr>
            </w:pPr>
            <w:r w:rsidRPr="001721D7">
              <w:rPr>
                <w:rFonts w:cs="Arial"/>
                <w:b/>
              </w:rPr>
              <w:t xml:space="preserve">Comments on Proposal </w:t>
            </w:r>
            <w:r>
              <w:rPr>
                <w:rFonts w:cs="Arial"/>
                <w:b/>
              </w:rPr>
              <w:t>3</w:t>
            </w:r>
            <w:r w:rsidRPr="001721D7">
              <w:rPr>
                <w:rFonts w:cs="Arial"/>
                <w:b/>
              </w:rPr>
              <w:t>4</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b/>
        </w:rPr>
      </w:pPr>
    </w:p>
    <w:p w:rsidR="00A72A4F" w:rsidRDefault="00A72A4F" w:rsidP="00A72A4F">
      <w:pPr>
        <w:ind w:left="720" w:hanging="720"/>
      </w:pPr>
      <w:r>
        <w:t>35.</w:t>
      </w:r>
      <w:r>
        <w:tab/>
        <w:t>Should the secured creditor be entitled to remove a tenant under a lease granted after a standard security prior to enforcement if express provision is made in the security documentation prohibiting the grant of a lease?  Should that provision require to be on the face of the Land Register?</w:t>
      </w:r>
    </w:p>
    <w:p w:rsidR="00A72A4F" w:rsidRDefault="00A72A4F" w:rsidP="00A72A4F">
      <w:pPr>
        <w:ind w:left="1440" w:hanging="1440"/>
        <w:jc w:val="right"/>
      </w:pPr>
      <w:r>
        <w:t>(Paragraph 8.40)</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6D6281">
            <w:pPr>
              <w:rPr>
                <w:rFonts w:cs="Arial"/>
              </w:rPr>
            </w:pPr>
            <w:r w:rsidRPr="001721D7">
              <w:rPr>
                <w:rFonts w:cs="Arial"/>
                <w:b/>
              </w:rPr>
              <w:t xml:space="preserve">Comments on Proposal </w:t>
            </w:r>
            <w:r>
              <w:rPr>
                <w:rFonts w:cs="Arial"/>
                <w:b/>
              </w:rPr>
              <w:t>3</w:t>
            </w:r>
            <w:r w:rsidRPr="001721D7">
              <w:rPr>
                <w:rFonts w:cs="Arial"/>
                <w:b/>
              </w:rPr>
              <w:t>5</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tabs>
          <w:tab w:val="clear" w:pos="720"/>
          <w:tab w:val="clear" w:pos="1440"/>
        </w:tabs>
        <w:jc w:val="left"/>
        <w:rPr>
          <w:rFonts w:cs="Arial"/>
        </w:rPr>
      </w:pPr>
    </w:p>
    <w:p w:rsidR="00A72A4F" w:rsidRDefault="00A72A4F" w:rsidP="00A72A4F">
      <w:pPr>
        <w:ind w:left="720" w:hanging="720"/>
      </w:pPr>
      <w:r>
        <w:t>36.</w:t>
      </w:r>
      <w:r>
        <w:tab/>
        <w:t>What comments do consultees have on the rights of the secured creditor where the debtor carries out a juridical act in relation to an existing lease without the secured creditor’s consent?</w:t>
      </w:r>
    </w:p>
    <w:p w:rsidR="00A72A4F" w:rsidRDefault="00A72A4F" w:rsidP="00A72A4F">
      <w:pPr>
        <w:jc w:val="right"/>
      </w:pPr>
      <w:r>
        <w:t>(Paragraph 8.44)</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6D6281">
            <w:pPr>
              <w:rPr>
                <w:rFonts w:cs="Arial"/>
              </w:rPr>
            </w:pPr>
            <w:r w:rsidRPr="001721D7">
              <w:rPr>
                <w:rFonts w:cs="Arial"/>
                <w:b/>
              </w:rPr>
              <w:t xml:space="preserve">Comments on Proposal </w:t>
            </w:r>
            <w:r>
              <w:rPr>
                <w:rFonts w:cs="Arial"/>
                <w:b/>
              </w:rPr>
              <w:t>3</w:t>
            </w:r>
            <w:r w:rsidRPr="001721D7">
              <w:rPr>
                <w:rFonts w:cs="Arial"/>
                <w:b/>
              </w:rPr>
              <w:t>6</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rPr>
      </w:pPr>
    </w:p>
    <w:p w:rsidR="00A72A4F" w:rsidRDefault="00A72A4F" w:rsidP="00A72A4F">
      <w:pPr>
        <w:ind w:left="720" w:hanging="720"/>
      </w:pPr>
      <w:r>
        <w:t>37.</w:t>
      </w:r>
      <w:r>
        <w:tab/>
      </w:r>
      <w:r>
        <w:rPr>
          <w:lang w:val="en" w:eastAsia="en-GB"/>
        </w:rPr>
        <w:t>Should the Private Housing (Tenancies) (Scotland) Act 2016 be amended to make it clear that a heritable creditor cannot evict a tenant whose lease was granted prior to the creation of the security?</w:t>
      </w:r>
    </w:p>
    <w:p w:rsidR="00A72A4F" w:rsidRDefault="00A72A4F" w:rsidP="00A72A4F">
      <w:pPr>
        <w:jc w:val="right"/>
      </w:pPr>
      <w:r>
        <w:t>(Paragraph 8.52)</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6D6281">
            <w:pPr>
              <w:rPr>
                <w:rFonts w:cs="Arial"/>
              </w:rPr>
            </w:pPr>
            <w:r w:rsidRPr="001721D7">
              <w:rPr>
                <w:rFonts w:cs="Arial"/>
                <w:b/>
              </w:rPr>
              <w:t xml:space="preserve">Comments on Proposal </w:t>
            </w:r>
            <w:r>
              <w:rPr>
                <w:rFonts w:cs="Arial"/>
                <w:b/>
              </w:rPr>
              <w:t>3</w:t>
            </w:r>
            <w:r w:rsidRPr="001721D7">
              <w:rPr>
                <w:rFonts w:cs="Arial"/>
                <w:b/>
              </w:rPr>
              <w:t>7</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pStyle w:val="BodyText"/>
        <w:tabs>
          <w:tab w:val="left" w:pos="1440"/>
        </w:tabs>
        <w:spacing w:after="240" w:line="280" w:lineRule="exact"/>
        <w:jc w:val="both"/>
        <w:rPr>
          <w:rFonts w:cs="Arial"/>
        </w:rPr>
      </w:pPr>
    </w:p>
    <w:p w:rsidR="00A72A4F" w:rsidRDefault="00A72A4F" w:rsidP="00A72A4F">
      <w:pPr>
        <w:ind w:left="720" w:hanging="720"/>
      </w:pPr>
      <w:r>
        <w:t>38.</w:t>
      </w:r>
      <w:r>
        <w:tab/>
      </w:r>
      <w:r>
        <w:rPr>
          <w:lang w:val="en" w:eastAsia="en-GB"/>
        </w:rPr>
        <w:t>What comments do consultees have on the situation where a heritable creditor is enforcing its security and there is a residential tenant whose lease was granted after the security?</w:t>
      </w:r>
    </w:p>
    <w:p w:rsidR="00A72A4F" w:rsidRDefault="00A72A4F" w:rsidP="00A72A4F">
      <w:pPr>
        <w:jc w:val="right"/>
      </w:pPr>
      <w:r>
        <w:lastRenderedPageBreak/>
        <w:t>(Paragraph 8.55)</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6D6281">
            <w:pPr>
              <w:rPr>
                <w:rFonts w:cs="Arial"/>
              </w:rPr>
            </w:pPr>
            <w:r w:rsidRPr="001721D7">
              <w:rPr>
                <w:rFonts w:cs="Arial"/>
                <w:b/>
              </w:rPr>
              <w:t xml:space="preserve">Comments on Proposal </w:t>
            </w:r>
            <w:r>
              <w:rPr>
                <w:rFonts w:cs="Arial"/>
                <w:b/>
              </w:rPr>
              <w:t>3</w:t>
            </w:r>
            <w:r w:rsidRPr="001721D7">
              <w:rPr>
                <w:rFonts w:cs="Arial"/>
                <w:b/>
              </w:rPr>
              <w:t>8</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rPr>
      </w:pPr>
    </w:p>
    <w:p w:rsidR="00A72A4F" w:rsidRDefault="00A72A4F" w:rsidP="00A72A4F">
      <w:pPr>
        <w:ind w:left="720" w:hanging="720"/>
      </w:pPr>
      <w:r>
        <w:t>39.</w:t>
      </w:r>
      <w:r>
        <w:tab/>
      </w:r>
      <w:r>
        <w:rPr>
          <w:lang w:val="en" w:eastAsia="en-GB"/>
        </w:rPr>
        <w:t>The holder of a private residential tenancy should prior to enforcement be unaffected by a prohibition on leasing in a standard security encumbering the property unless that person knows of the prohibition at the date of entry under the lease.</w:t>
      </w:r>
    </w:p>
    <w:p w:rsidR="00A72A4F" w:rsidRDefault="00A72A4F" w:rsidP="00A72A4F">
      <w:pPr>
        <w:jc w:val="right"/>
      </w:pPr>
      <w:r>
        <w:t>(Paragraph 8.57)</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6D6281">
            <w:pPr>
              <w:rPr>
                <w:rFonts w:cs="Arial"/>
              </w:rPr>
            </w:pPr>
            <w:r w:rsidRPr="001721D7">
              <w:rPr>
                <w:rFonts w:cs="Arial"/>
                <w:b/>
              </w:rPr>
              <w:t xml:space="preserve">Comments on Proposal </w:t>
            </w:r>
            <w:r>
              <w:rPr>
                <w:rFonts w:cs="Arial"/>
                <w:b/>
              </w:rPr>
              <w:t>3</w:t>
            </w:r>
            <w:r w:rsidRPr="001721D7">
              <w:rPr>
                <w:rFonts w:cs="Arial"/>
                <w:b/>
              </w:rPr>
              <w:t>9</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rPr>
      </w:pPr>
    </w:p>
    <w:p w:rsidR="00A72A4F" w:rsidRDefault="00A72A4F" w:rsidP="00A72A4F">
      <w:pPr>
        <w:ind w:left="720" w:hanging="720"/>
        <w:rPr>
          <w:lang w:val="en" w:eastAsia="en-GB"/>
        </w:rPr>
      </w:pPr>
      <w:r>
        <w:t>40.</w:t>
      </w:r>
      <w:r>
        <w:tab/>
      </w:r>
      <w:r>
        <w:rPr>
          <w:lang w:val="en" w:eastAsia="en-GB"/>
        </w:rPr>
        <w:t>Do consultees have any comments on the interaction of standard securities with agricultural leases?</w:t>
      </w:r>
    </w:p>
    <w:p w:rsidR="00A72A4F" w:rsidRDefault="00A72A4F" w:rsidP="00A72A4F">
      <w:pPr>
        <w:jc w:val="right"/>
      </w:pPr>
      <w:r>
        <w:rPr>
          <w:lang w:val="en" w:eastAsia="en-GB"/>
        </w:rPr>
        <w:t>(Paragraph 8.58)</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6D6281">
            <w:pPr>
              <w:rPr>
                <w:rFonts w:cs="Arial"/>
              </w:rPr>
            </w:pPr>
            <w:r>
              <w:rPr>
                <w:rFonts w:cs="Arial"/>
                <w:b/>
              </w:rPr>
              <w:t>Comments on Proposal 4</w:t>
            </w:r>
            <w:r w:rsidRPr="001721D7">
              <w:rPr>
                <w:rFonts w:cs="Arial"/>
                <w:b/>
              </w:rPr>
              <w:t>0</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Default="00917473" w:rsidP="00917473">
      <w:pPr>
        <w:rPr>
          <w:rFonts w:cs="Arial"/>
        </w:rPr>
      </w:pPr>
    </w:p>
    <w:p w:rsidR="00A72A4F" w:rsidRDefault="00A72A4F" w:rsidP="00A72A4F">
      <w:pPr>
        <w:ind w:left="720" w:hanging="720"/>
      </w:pPr>
      <w:r>
        <w:t>41.</w:t>
      </w:r>
      <w:r>
        <w:tab/>
        <w:t>Where property is encumbered by a standard security and the debtor carries out a juridical act in relation to a right affecting that property without the creditor’s consent, the creditor should be entitled to reduce the debtor’s act if the security is enforced.</w:t>
      </w:r>
    </w:p>
    <w:p w:rsidR="00A72A4F" w:rsidRDefault="00A72A4F" w:rsidP="00A72A4F">
      <w:pPr>
        <w:jc w:val="right"/>
      </w:pPr>
      <w:r>
        <w:t>(Paragraph 8.64)</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6D6281">
            <w:pPr>
              <w:rPr>
                <w:rFonts w:cs="Arial"/>
              </w:rPr>
            </w:pPr>
            <w:r w:rsidRPr="001721D7">
              <w:rPr>
                <w:rFonts w:cs="Arial"/>
                <w:b/>
              </w:rPr>
              <w:t xml:space="preserve">Comments on Proposal </w:t>
            </w:r>
            <w:r>
              <w:rPr>
                <w:rFonts w:cs="Arial"/>
                <w:b/>
              </w:rPr>
              <w:t>4</w:t>
            </w:r>
            <w:r w:rsidRPr="001721D7">
              <w:rPr>
                <w:rFonts w:cs="Arial"/>
                <w:b/>
              </w:rPr>
              <w:t>1</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rPr>
      </w:pPr>
    </w:p>
    <w:p w:rsidR="00A72A4F" w:rsidRDefault="00A72A4F" w:rsidP="00A72A4F">
      <w:pPr>
        <w:ind w:left="720" w:hanging="720"/>
        <w:rPr>
          <w:lang w:val="en" w:eastAsia="en-GB"/>
        </w:rPr>
      </w:pPr>
      <w:r>
        <w:t>42.</w:t>
      </w:r>
      <w:r>
        <w:tab/>
      </w:r>
      <w:r>
        <w:rPr>
          <w:lang w:val="en" w:eastAsia="en-GB"/>
        </w:rPr>
        <w:t>Should the creditor prior to enforcement be entitled to reduce any juridical act by the debtor which is prohibited in the security documentation?</w:t>
      </w:r>
    </w:p>
    <w:p w:rsidR="00A72A4F" w:rsidRDefault="00A72A4F" w:rsidP="00A72A4F">
      <w:pPr>
        <w:jc w:val="right"/>
        <w:rPr>
          <w:lang w:val="en" w:eastAsia="en-GB"/>
        </w:rPr>
      </w:pPr>
      <w:r>
        <w:rPr>
          <w:lang w:val="en" w:eastAsia="en-GB"/>
        </w:rPr>
        <w:t>(Paragraph 8.65)</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6D6281">
            <w:pPr>
              <w:rPr>
                <w:rFonts w:cs="Arial"/>
              </w:rPr>
            </w:pPr>
            <w:r w:rsidRPr="001721D7">
              <w:rPr>
                <w:rFonts w:cs="Arial"/>
                <w:b/>
              </w:rPr>
              <w:t xml:space="preserve">Comments on Proposal </w:t>
            </w:r>
            <w:r>
              <w:rPr>
                <w:rFonts w:cs="Arial"/>
                <w:b/>
              </w:rPr>
              <w:t>4</w:t>
            </w:r>
            <w:r w:rsidRPr="001721D7">
              <w:rPr>
                <w:rFonts w:cs="Arial"/>
                <w:b/>
              </w:rPr>
              <w:t>2</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tabs>
          <w:tab w:val="clear" w:pos="2160"/>
        </w:tabs>
        <w:rPr>
          <w:rFonts w:cs="Arial"/>
        </w:rPr>
      </w:pPr>
    </w:p>
    <w:p w:rsidR="00A72A4F" w:rsidRDefault="00A72A4F" w:rsidP="00A72A4F">
      <w:pPr>
        <w:ind w:left="720" w:hanging="720"/>
      </w:pPr>
      <w:r>
        <w:rPr>
          <w:lang w:val="en" w:eastAsia="en-GB"/>
        </w:rPr>
        <w:t>43.</w:t>
      </w:r>
      <w:r>
        <w:rPr>
          <w:lang w:val="en" w:eastAsia="en-GB"/>
        </w:rPr>
        <w:tab/>
      </w:r>
      <w:r>
        <w:t>It should continue to be possible to vary a standard security as under the 1970 Act, except that there should be no mandatory form of deed.</w:t>
      </w:r>
    </w:p>
    <w:p w:rsidR="00A72A4F" w:rsidRDefault="00A72A4F" w:rsidP="00A72A4F">
      <w:pPr>
        <w:jc w:val="right"/>
      </w:pPr>
      <w:r>
        <w:t>(Paragraph 9.14)</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6D6281">
            <w:pPr>
              <w:rPr>
                <w:rFonts w:cs="Arial"/>
              </w:rPr>
            </w:pPr>
            <w:r w:rsidRPr="001721D7">
              <w:rPr>
                <w:rFonts w:cs="Arial"/>
                <w:b/>
              </w:rPr>
              <w:t xml:space="preserve">Comments on Proposal </w:t>
            </w:r>
            <w:r>
              <w:rPr>
                <w:rFonts w:cs="Arial"/>
                <w:b/>
              </w:rPr>
              <w:t>4</w:t>
            </w:r>
            <w:r w:rsidRPr="001721D7">
              <w:rPr>
                <w:rFonts w:cs="Arial"/>
                <w:b/>
              </w:rPr>
              <w:t>3</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pStyle w:val="Heading1"/>
        <w:numPr>
          <w:ilvl w:val="0"/>
          <w:numId w:val="0"/>
        </w:numPr>
        <w:rPr>
          <w:rFonts w:cs="Arial"/>
          <w:b/>
        </w:rPr>
      </w:pPr>
    </w:p>
    <w:p w:rsidR="00A72A4F" w:rsidRDefault="00A72A4F" w:rsidP="00A72A4F">
      <w:pPr>
        <w:ind w:left="720" w:hanging="720"/>
      </w:pPr>
      <w:r>
        <w:t>44.</w:t>
      </w:r>
      <w:r>
        <w:tab/>
        <w:t xml:space="preserve">It should continue to be impermissible to vary a standard security to increase the encumbered property. </w:t>
      </w:r>
    </w:p>
    <w:p w:rsidR="00A72A4F" w:rsidRDefault="00A72A4F" w:rsidP="00A72A4F">
      <w:pPr>
        <w:jc w:val="right"/>
      </w:pPr>
      <w:r>
        <w:t>(Paragraph 9.16)</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6D6281">
            <w:pPr>
              <w:rPr>
                <w:rFonts w:cs="Arial"/>
              </w:rPr>
            </w:pPr>
            <w:r w:rsidRPr="001721D7">
              <w:rPr>
                <w:rFonts w:cs="Arial"/>
                <w:b/>
              </w:rPr>
              <w:t xml:space="preserve">Comments on Proposal </w:t>
            </w:r>
            <w:r>
              <w:rPr>
                <w:rFonts w:cs="Arial"/>
                <w:b/>
              </w:rPr>
              <w:t>4</w:t>
            </w:r>
            <w:r w:rsidRPr="001721D7">
              <w:rPr>
                <w:rFonts w:cs="Arial"/>
                <w:b/>
              </w:rPr>
              <w:t>4</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b/>
        </w:rPr>
      </w:pPr>
    </w:p>
    <w:p w:rsidR="00A72A4F" w:rsidRDefault="00A72A4F" w:rsidP="00A72A4F">
      <w:r>
        <w:t>45.</w:t>
      </w:r>
      <w:r>
        <w:tab/>
        <w:t>It should continue to be possible to restrict a standard security:</w:t>
      </w:r>
    </w:p>
    <w:p w:rsidR="00A72A4F" w:rsidRDefault="00A72A4F" w:rsidP="00A72A4F">
      <w:pPr>
        <w:ind w:left="720"/>
      </w:pPr>
      <w:r>
        <w:t>(a)</w:t>
      </w:r>
      <w:r>
        <w:tab/>
        <w:t>as under the 1970 Act, except that there should be no mandatory form of deed; or</w:t>
      </w:r>
    </w:p>
    <w:p w:rsidR="00A72A4F" w:rsidRDefault="00A72A4F" w:rsidP="00A72A4F">
      <w:pPr>
        <w:ind w:left="720"/>
      </w:pPr>
      <w:r>
        <w:t xml:space="preserve">(b) </w:t>
      </w:r>
      <w:r>
        <w:tab/>
        <w:t xml:space="preserve">by means of a consent </w:t>
      </w:r>
      <w:r>
        <w:rPr>
          <w:i/>
        </w:rPr>
        <w:t xml:space="preserve">in gremio </w:t>
      </w:r>
      <w:r>
        <w:t>in a disposition transferring the property.</w:t>
      </w:r>
    </w:p>
    <w:p w:rsidR="00A72A4F" w:rsidRDefault="00A72A4F" w:rsidP="00A72A4F">
      <w:pPr>
        <w:jc w:val="right"/>
      </w:pPr>
      <w:r>
        <w:t>(Paragraph 9.23)</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6D6281">
            <w:pPr>
              <w:rPr>
                <w:rFonts w:cs="Arial"/>
              </w:rPr>
            </w:pPr>
            <w:r w:rsidRPr="001721D7">
              <w:rPr>
                <w:rFonts w:cs="Arial"/>
                <w:b/>
              </w:rPr>
              <w:t xml:space="preserve">Comments on Proposal </w:t>
            </w:r>
            <w:r>
              <w:rPr>
                <w:rFonts w:cs="Arial"/>
                <w:b/>
              </w:rPr>
              <w:t>4</w:t>
            </w:r>
            <w:r w:rsidRPr="001721D7">
              <w:rPr>
                <w:rFonts w:cs="Arial"/>
                <w:b/>
              </w:rPr>
              <w:t>5</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tabs>
          <w:tab w:val="clear" w:pos="720"/>
          <w:tab w:val="clear" w:pos="1440"/>
        </w:tabs>
        <w:jc w:val="left"/>
        <w:rPr>
          <w:rFonts w:cs="Arial"/>
        </w:rPr>
      </w:pPr>
    </w:p>
    <w:p w:rsidR="00A72A4F" w:rsidRDefault="00A72A4F" w:rsidP="00A72A4F">
      <w:pPr>
        <w:ind w:left="720" w:hanging="720"/>
      </w:pPr>
      <w:r>
        <w:t>46.</w:t>
      </w:r>
      <w:r>
        <w:tab/>
        <w:t>Should (a) the assignation of the secured debt alone be sufficient to transfer the standard security, or should (b) registration of a document assigning the standard security continue to be required?</w:t>
      </w:r>
    </w:p>
    <w:p w:rsidR="00A72A4F" w:rsidRDefault="00A72A4F" w:rsidP="00A72A4F">
      <w:pPr>
        <w:jc w:val="right"/>
      </w:pPr>
      <w:r>
        <w:t>(Paragraph 10.34)</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6D6281">
            <w:pPr>
              <w:rPr>
                <w:rFonts w:cs="Arial"/>
              </w:rPr>
            </w:pPr>
            <w:r w:rsidRPr="001721D7">
              <w:rPr>
                <w:rFonts w:cs="Arial"/>
                <w:b/>
              </w:rPr>
              <w:t xml:space="preserve">Comments on Proposal </w:t>
            </w:r>
            <w:r>
              <w:rPr>
                <w:rFonts w:cs="Arial"/>
                <w:b/>
              </w:rPr>
              <w:t>4</w:t>
            </w:r>
            <w:r w:rsidRPr="001721D7">
              <w:rPr>
                <w:rFonts w:cs="Arial"/>
                <w:b/>
              </w:rPr>
              <w:t>6</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rPr>
      </w:pPr>
    </w:p>
    <w:p w:rsidR="00A72A4F" w:rsidRDefault="00A72A4F" w:rsidP="00A72A4F">
      <w:pPr>
        <w:ind w:left="720" w:hanging="720"/>
      </w:pPr>
      <w:r>
        <w:lastRenderedPageBreak/>
        <w:t>47.</w:t>
      </w:r>
      <w:r>
        <w:tab/>
        <w:t>If registration should still be required, should the effect of registration be to transfer the debt (without intimation to the debtor)?</w:t>
      </w:r>
    </w:p>
    <w:p w:rsidR="00A72A4F" w:rsidRDefault="00A72A4F" w:rsidP="00A72A4F">
      <w:pPr>
        <w:jc w:val="right"/>
      </w:pPr>
      <w:r>
        <w:t>(Paragraph 10.34)</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6D6281">
            <w:pPr>
              <w:rPr>
                <w:rFonts w:cs="Arial"/>
              </w:rPr>
            </w:pPr>
            <w:r w:rsidRPr="001721D7">
              <w:rPr>
                <w:rFonts w:cs="Arial"/>
                <w:b/>
              </w:rPr>
              <w:t xml:space="preserve">Comments on Proposal </w:t>
            </w:r>
            <w:r>
              <w:rPr>
                <w:rFonts w:cs="Arial"/>
                <w:b/>
              </w:rPr>
              <w:t>4</w:t>
            </w:r>
            <w:r w:rsidRPr="001721D7">
              <w:rPr>
                <w:rFonts w:cs="Arial"/>
                <w:b/>
              </w:rPr>
              <w:t>7</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pStyle w:val="BodyText"/>
        <w:tabs>
          <w:tab w:val="left" w:pos="1440"/>
        </w:tabs>
        <w:spacing w:after="240" w:line="280" w:lineRule="exact"/>
        <w:jc w:val="both"/>
        <w:rPr>
          <w:rFonts w:cs="Arial"/>
        </w:rPr>
      </w:pPr>
    </w:p>
    <w:p w:rsidR="00A72A4F" w:rsidRDefault="00A72A4F" w:rsidP="00A72A4F">
      <w:pPr>
        <w:ind w:left="720" w:hanging="720"/>
      </w:pPr>
      <w:r>
        <w:t>48.</w:t>
      </w:r>
      <w:r>
        <w:tab/>
        <w:t>(a)</w:t>
      </w:r>
      <w:r>
        <w:tab/>
        <w:t>There should be no mandatory form of deed for the assignation of a standard security.</w:t>
      </w:r>
    </w:p>
    <w:p w:rsidR="00A72A4F" w:rsidRDefault="00A72A4F" w:rsidP="00A72A4F">
      <w:pPr>
        <w:ind w:left="720"/>
      </w:pPr>
      <w:r>
        <w:t>(b)</w:t>
      </w:r>
      <w:r>
        <w:tab/>
        <w:t>The same deed may assign multiple standard securities.</w:t>
      </w:r>
    </w:p>
    <w:p w:rsidR="00A72A4F" w:rsidRDefault="00A72A4F" w:rsidP="00A72A4F">
      <w:pPr>
        <w:ind w:left="720"/>
      </w:pPr>
      <w:r>
        <w:t>(c)</w:t>
      </w:r>
      <w:r>
        <w:tab/>
        <w:t>Upon registration the assignation should give the assignee the benefit of any corroborative and substitutional obligations, the right to recover expenses from the debtor and the right to rely on any notices sent or enforcement procedure started by the assignor.</w:t>
      </w:r>
    </w:p>
    <w:p w:rsidR="00A72A4F" w:rsidRDefault="00A72A4F" w:rsidP="00A72A4F">
      <w:pPr>
        <w:jc w:val="right"/>
      </w:pPr>
      <w:r>
        <w:t>(Paragraph 10.38)</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6D6281">
            <w:pPr>
              <w:rPr>
                <w:rFonts w:cs="Arial"/>
              </w:rPr>
            </w:pPr>
            <w:r w:rsidRPr="001721D7">
              <w:rPr>
                <w:rFonts w:cs="Arial"/>
                <w:b/>
              </w:rPr>
              <w:t xml:space="preserve">Comments on Proposal </w:t>
            </w:r>
            <w:r>
              <w:rPr>
                <w:rFonts w:cs="Arial"/>
                <w:b/>
              </w:rPr>
              <w:t>4</w:t>
            </w:r>
            <w:r w:rsidRPr="001721D7">
              <w:rPr>
                <w:rFonts w:cs="Arial"/>
                <w:b/>
              </w:rPr>
              <w:t>8</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rPr>
      </w:pPr>
    </w:p>
    <w:p w:rsidR="00A72A4F" w:rsidRDefault="00A72A4F" w:rsidP="00A72A4F">
      <w:pPr>
        <w:ind w:left="720" w:hanging="720"/>
      </w:pPr>
      <w:r>
        <w:t>49.</w:t>
      </w:r>
      <w:r>
        <w:tab/>
      </w:r>
      <w:r>
        <w:rPr>
          <w:lang w:val="en" w:eastAsia="en-GB"/>
        </w:rPr>
        <w:t>The effect of an assignation of a standard security should not be to limit the standard security to the amount due at the time of the assignation and future advances made by the assignee may be secured depending on the terms of the security contract.</w:t>
      </w:r>
    </w:p>
    <w:p w:rsidR="00A72A4F" w:rsidRDefault="00A72A4F" w:rsidP="00A72A4F">
      <w:pPr>
        <w:jc w:val="right"/>
      </w:pPr>
      <w:r>
        <w:t>(Paragraph 10.68)</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6D6281">
            <w:pPr>
              <w:rPr>
                <w:rFonts w:cs="Arial"/>
              </w:rPr>
            </w:pPr>
            <w:r w:rsidRPr="001721D7">
              <w:rPr>
                <w:rFonts w:cs="Arial"/>
                <w:b/>
              </w:rPr>
              <w:t xml:space="preserve">Comments on Proposal </w:t>
            </w:r>
            <w:r>
              <w:rPr>
                <w:rFonts w:cs="Arial"/>
                <w:b/>
              </w:rPr>
              <w:t>4</w:t>
            </w:r>
            <w:r w:rsidRPr="001721D7">
              <w:rPr>
                <w:rFonts w:cs="Arial"/>
                <w:b/>
              </w:rPr>
              <w:t>9</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rPr>
      </w:pPr>
    </w:p>
    <w:p w:rsidR="00A72A4F" w:rsidRDefault="00A72A4F" w:rsidP="00A72A4F">
      <w:pPr>
        <w:ind w:left="720" w:hanging="720"/>
        <w:rPr>
          <w:lang w:val="en" w:eastAsia="en-GB"/>
        </w:rPr>
      </w:pPr>
      <w:r>
        <w:t>50.</w:t>
      </w:r>
      <w:r>
        <w:tab/>
        <w:t>(</w:t>
      </w:r>
      <w:r>
        <w:rPr>
          <w:lang w:val="en" w:eastAsia="en-GB"/>
        </w:rPr>
        <w:t>a)</w:t>
      </w:r>
      <w:r>
        <w:rPr>
          <w:lang w:val="en" w:eastAsia="en-GB"/>
        </w:rPr>
        <w:tab/>
        <w:t>Should there be any restrictions on what an all sums standard security may secure?</w:t>
      </w:r>
    </w:p>
    <w:p w:rsidR="00A72A4F" w:rsidRDefault="00A72A4F" w:rsidP="00A72A4F">
      <w:pPr>
        <w:ind w:left="720"/>
      </w:pPr>
      <w:r>
        <w:rPr>
          <w:lang w:val="en" w:eastAsia="en-GB"/>
        </w:rPr>
        <w:t>(b)</w:t>
      </w:r>
      <w:r>
        <w:rPr>
          <w:lang w:val="en" w:eastAsia="en-GB"/>
        </w:rPr>
        <w:tab/>
        <w:t>In particular, should there be restrictions on</w:t>
      </w:r>
    </w:p>
    <w:p w:rsidR="00A72A4F" w:rsidRDefault="00A72A4F" w:rsidP="00A72A4F">
      <w:pPr>
        <w:ind w:left="1440"/>
        <w:rPr>
          <w:lang w:val="en" w:eastAsia="en-GB"/>
        </w:rPr>
      </w:pPr>
      <w:r>
        <w:rPr>
          <w:lang w:val="en" w:eastAsia="en-GB"/>
        </w:rPr>
        <w:t>(i)</w:t>
      </w:r>
      <w:r>
        <w:rPr>
          <w:lang w:val="en" w:eastAsia="en-GB"/>
        </w:rPr>
        <w:tab/>
        <w:t>pre-assignation debts owed to the assignee; and</w:t>
      </w:r>
    </w:p>
    <w:p w:rsidR="00A72A4F" w:rsidRDefault="00A72A4F" w:rsidP="00A72A4F">
      <w:pPr>
        <w:ind w:left="1440"/>
        <w:rPr>
          <w:lang w:val="en" w:eastAsia="en-GB"/>
        </w:rPr>
      </w:pPr>
      <w:r>
        <w:rPr>
          <w:lang w:val="en" w:eastAsia="en-GB"/>
        </w:rPr>
        <w:t>(ii)</w:t>
      </w:r>
      <w:r>
        <w:rPr>
          <w:lang w:val="en" w:eastAsia="en-GB"/>
        </w:rPr>
        <w:tab/>
        <w:t xml:space="preserve">debts originally owed to other parties </w:t>
      </w:r>
    </w:p>
    <w:p w:rsidR="00A72A4F" w:rsidRDefault="00A72A4F" w:rsidP="00A72A4F">
      <w:pPr>
        <w:ind w:left="1440"/>
        <w:rPr>
          <w:lang w:val="en" w:eastAsia="en-GB"/>
        </w:rPr>
      </w:pPr>
      <w:r>
        <w:rPr>
          <w:lang w:val="en" w:eastAsia="en-GB"/>
        </w:rPr>
        <w:t>being secured?</w:t>
      </w:r>
    </w:p>
    <w:p w:rsidR="00A72A4F" w:rsidRDefault="00A72A4F" w:rsidP="00A72A4F">
      <w:pPr>
        <w:jc w:val="right"/>
        <w:rPr>
          <w:lang w:val="en" w:eastAsia="en-GB"/>
        </w:rPr>
      </w:pPr>
      <w:r>
        <w:rPr>
          <w:lang w:val="en" w:eastAsia="en-GB"/>
        </w:rPr>
        <w:lastRenderedPageBreak/>
        <w:t>(Paragraph 10.72)</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6D6281">
            <w:pPr>
              <w:rPr>
                <w:rFonts w:cs="Arial"/>
              </w:rPr>
            </w:pPr>
            <w:r>
              <w:rPr>
                <w:rFonts w:cs="Arial"/>
                <w:b/>
              </w:rPr>
              <w:t>Comments on Proposal 5</w:t>
            </w:r>
            <w:r w:rsidRPr="001721D7">
              <w:rPr>
                <w:rFonts w:cs="Arial"/>
                <w:b/>
              </w:rPr>
              <w:t>0</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Default="00917473" w:rsidP="00917473">
      <w:pPr>
        <w:rPr>
          <w:rFonts w:cs="Arial"/>
        </w:rPr>
      </w:pPr>
    </w:p>
    <w:p w:rsidR="00A72A4F" w:rsidRDefault="00A72A4F" w:rsidP="00A72A4F">
      <w:r>
        <w:rPr>
          <w:lang w:val="en" w:eastAsia="en-GB"/>
        </w:rPr>
        <w:t>51.</w:t>
      </w:r>
      <w:r>
        <w:rPr>
          <w:lang w:val="en" w:eastAsia="en-GB"/>
        </w:rPr>
        <w:tab/>
      </w:r>
      <w:r>
        <w:t>It should continue to be possible to discharge a stand</w:t>
      </w:r>
      <w:r w:rsidR="0011407F">
        <w:t>ard security in whole</w:t>
      </w:r>
      <w:bookmarkStart w:id="0" w:name="_GoBack"/>
      <w:bookmarkEnd w:id="0"/>
      <w:r>
        <w:t>:</w:t>
      </w:r>
    </w:p>
    <w:p w:rsidR="00A72A4F" w:rsidRDefault="00A72A4F" w:rsidP="00A72A4F">
      <w:pPr>
        <w:ind w:left="720"/>
      </w:pPr>
      <w:r>
        <w:t>(a)</w:t>
      </w:r>
      <w:r>
        <w:tab/>
        <w:t>as under the 1970 Act, except that there should be no mandatory form of deed; or</w:t>
      </w:r>
    </w:p>
    <w:p w:rsidR="00A72A4F" w:rsidRDefault="00A72A4F" w:rsidP="00A72A4F">
      <w:pPr>
        <w:ind w:left="720"/>
      </w:pPr>
      <w:r>
        <w:t>(b)</w:t>
      </w:r>
      <w:r>
        <w:tab/>
        <w:t xml:space="preserve">by means of a consent </w:t>
      </w:r>
      <w:r>
        <w:rPr>
          <w:i/>
        </w:rPr>
        <w:t xml:space="preserve">in gremio </w:t>
      </w:r>
      <w:r>
        <w:t>in a disposition transferring the property.</w:t>
      </w:r>
    </w:p>
    <w:p w:rsidR="00A72A4F" w:rsidRDefault="00A72A4F" w:rsidP="00A72A4F">
      <w:pPr>
        <w:jc w:val="right"/>
        <w:rPr>
          <w:lang w:val="en" w:eastAsia="en-GB"/>
        </w:rPr>
      </w:pPr>
      <w:r>
        <w:rPr>
          <w:lang w:val="en" w:eastAsia="en-GB"/>
        </w:rPr>
        <w:t>(Paragraph 11.9)</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6D6281">
            <w:pPr>
              <w:rPr>
                <w:rFonts w:cs="Arial"/>
              </w:rPr>
            </w:pPr>
            <w:r w:rsidRPr="001721D7">
              <w:rPr>
                <w:rFonts w:cs="Arial"/>
                <w:b/>
              </w:rPr>
              <w:t xml:space="preserve">Comments on Proposal </w:t>
            </w:r>
            <w:r>
              <w:rPr>
                <w:rFonts w:cs="Arial"/>
                <w:b/>
              </w:rPr>
              <w:t>5</w:t>
            </w:r>
            <w:r w:rsidRPr="001721D7">
              <w:rPr>
                <w:rFonts w:cs="Arial"/>
                <w:b/>
              </w:rPr>
              <w:t>1</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rPr>
      </w:pPr>
    </w:p>
    <w:p w:rsidR="00A72A4F" w:rsidRDefault="00A72A4F" w:rsidP="00A72A4F">
      <w:pPr>
        <w:ind w:left="720" w:hanging="720"/>
      </w:pPr>
      <w:r>
        <w:rPr>
          <w:lang w:val="en" w:eastAsia="en-GB"/>
        </w:rPr>
        <w:t>52.</w:t>
      </w:r>
      <w:r>
        <w:rPr>
          <w:lang w:val="en" w:eastAsia="en-GB"/>
        </w:rPr>
        <w:tab/>
      </w:r>
      <w:r>
        <w:t>(a)</w:t>
      </w:r>
      <w:r>
        <w:tab/>
        <w:t xml:space="preserve">Do consultees consider that the law should require creditors to discharge standard securities where there is no outstanding debt?  </w:t>
      </w:r>
    </w:p>
    <w:p w:rsidR="00A72A4F" w:rsidRDefault="00A72A4F" w:rsidP="00A72A4F">
      <w:pPr>
        <w:ind w:left="720"/>
        <w:rPr>
          <w:lang w:val="en" w:eastAsia="en-GB"/>
        </w:rPr>
      </w:pPr>
      <w:r>
        <w:t>(b)</w:t>
      </w:r>
      <w:r>
        <w:tab/>
        <w:t>If so, should such a rule be restricted to residential cases and should there be exceptions?  What should be the sanction for non-compliance?</w:t>
      </w:r>
    </w:p>
    <w:p w:rsidR="00A72A4F" w:rsidRDefault="00A72A4F" w:rsidP="00A72A4F">
      <w:pPr>
        <w:jc w:val="right"/>
        <w:rPr>
          <w:lang w:val="en" w:eastAsia="en-GB"/>
        </w:rPr>
      </w:pPr>
      <w:r>
        <w:rPr>
          <w:lang w:val="en" w:eastAsia="en-GB"/>
        </w:rPr>
        <w:t>(Paragraph 11.12)</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6D6281">
            <w:pPr>
              <w:rPr>
                <w:rFonts w:cs="Arial"/>
              </w:rPr>
            </w:pPr>
            <w:r w:rsidRPr="001721D7">
              <w:rPr>
                <w:rFonts w:cs="Arial"/>
                <w:b/>
              </w:rPr>
              <w:t xml:space="preserve">Comments on Proposal </w:t>
            </w:r>
            <w:r>
              <w:rPr>
                <w:rFonts w:cs="Arial"/>
                <w:b/>
              </w:rPr>
              <w:t>5</w:t>
            </w:r>
            <w:r w:rsidRPr="001721D7">
              <w:rPr>
                <w:rFonts w:cs="Arial"/>
                <w:b/>
              </w:rPr>
              <w:t>2</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tabs>
          <w:tab w:val="clear" w:pos="2160"/>
        </w:tabs>
        <w:rPr>
          <w:rFonts w:cs="Arial"/>
        </w:rPr>
      </w:pPr>
    </w:p>
    <w:p w:rsidR="00A72A4F" w:rsidRDefault="00A72A4F" w:rsidP="00A72A4F">
      <w:pPr>
        <w:ind w:left="720" w:hanging="720"/>
        <w:rPr>
          <w:lang w:val="en" w:eastAsia="en-GB"/>
        </w:rPr>
      </w:pPr>
      <w:r>
        <w:rPr>
          <w:lang w:val="en" w:eastAsia="en-GB"/>
        </w:rPr>
        <w:t>53.</w:t>
      </w:r>
      <w:r>
        <w:rPr>
          <w:lang w:val="en" w:eastAsia="en-GB"/>
        </w:rPr>
        <w:tab/>
        <w:t>Section 41 of the 1970 Act should be restated and clarified by means of a new statutory provision.</w:t>
      </w:r>
    </w:p>
    <w:p w:rsidR="00A72A4F" w:rsidRDefault="00A72A4F" w:rsidP="00A72A4F">
      <w:pPr>
        <w:jc w:val="right"/>
        <w:rPr>
          <w:lang w:val="en" w:eastAsia="en-GB"/>
        </w:rPr>
      </w:pPr>
      <w:r>
        <w:rPr>
          <w:lang w:val="en" w:eastAsia="en-GB"/>
        </w:rPr>
        <w:t xml:space="preserve">(Paragraph 11.14) </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6D6281">
            <w:pPr>
              <w:rPr>
                <w:rFonts w:cs="Arial"/>
              </w:rPr>
            </w:pPr>
            <w:r w:rsidRPr="001721D7">
              <w:rPr>
                <w:rFonts w:cs="Arial"/>
                <w:b/>
              </w:rPr>
              <w:t xml:space="preserve">Comments on Proposal </w:t>
            </w:r>
            <w:r>
              <w:rPr>
                <w:rFonts w:cs="Arial"/>
                <w:b/>
              </w:rPr>
              <w:t>5</w:t>
            </w:r>
            <w:r w:rsidRPr="001721D7">
              <w:rPr>
                <w:rFonts w:cs="Arial"/>
                <w:b/>
              </w:rPr>
              <w:t>3</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pStyle w:val="Heading1"/>
        <w:numPr>
          <w:ilvl w:val="0"/>
          <w:numId w:val="0"/>
        </w:numPr>
        <w:rPr>
          <w:rFonts w:cs="Arial"/>
          <w:b/>
        </w:rPr>
      </w:pPr>
    </w:p>
    <w:p w:rsidR="00A72A4F" w:rsidRDefault="00A72A4F" w:rsidP="00A72A4F">
      <w:pPr>
        <w:ind w:left="720" w:hanging="720"/>
        <w:rPr>
          <w:lang w:val="en" w:eastAsia="en-GB"/>
        </w:rPr>
      </w:pPr>
      <w:r>
        <w:rPr>
          <w:lang w:val="en" w:eastAsia="en-GB"/>
        </w:rPr>
        <w:t>54.</w:t>
      </w:r>
      <w:r>
        <w:rPr>
          <w:lang w:val="en" w:eastAsia="en-GB"/>
        </w:rPr>
        <w:tab/>
        <w:t>(a)</w:t>
      </w:r>
      <w:r>
        <w:rPr>
          <w:lang w:val="en" w:eastAsia="en-GB"/>
        </w:rPr>
        <w:tab/>
        <w:t xml:space="preserve">Do consultees agree that the rules on redemption should be replaced with a general rule entitling the debtor to a discharge on the secured obligation being performed in terms of the contractual arrangements between the parties and a court </w:t>
      </w:r>
      <w:r>
        <w:rPr>
          <w:lang w:val="en" w:eastAsia="en-GB"/>
        </w:rPr>
        <w:lastRenderedPageBreak/>
        <w:t xml:space="preserve">procedure for discharge where the creditor has disappeared or refuses to grant a discharge? </w:t>
      </w:r>
    </w:p>
    <w:p w:rsidR="00A72A4F" w:rsidRDefault="00A72A4F" w:rsidP="00A72A4F">
      <w:pPr>
        <w:ind w:left="720"/>
        <w:rPr>
          <w:lang w:val="en" w:eastAsia="en-GB"/>
        </w:rPr>
      </w:pPr>
      <w:r>
        <w:rPr>
          <w:lang w:val="en" w:eastAsia="en-GB"/>
        </w:rPr>
        <w:t>(b)</w:t>
      </w:r>
      <w:r>
        <w:rPr>
          <w:lang w:val="en" w:eastAsia="en-GB"/>
        </w:rPr>
        <w:tab/>
        <w:t xml:space="preserve">What comments do consultees have on the owner of the encumbered property (where that person is not the debtor) having the right to have the security discharged by paying the value of the property? </w:t>
      </w:r>
    </w:p>
    <w:p w:rsidR="00A72A4F" w:rsidRDefault="00A72A4F" w:rsidP="00A72A4F">
      <w:pPr>
        <w:jc w:val="right"/>
      </w:pPr>
      <w:r>
        <w:t>(Paragraph 11.39)</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6D6281">
            <w:pPr>
              <w:rPr>
                <w:rFonts w:cs="Arial"/>
              </w:rPr>
            </w:pPr>
            <w:r w:rsidRPr="001721D7">
              <w:rPr>
                <w:rFonts w:cs="Arial"/>
                <w:b/>
              </w:rPr>
              <w:t xml:space="preserve">Comments on Proposal </w:t>
            </w:r>
            <w:r>
              <w:rPr>
                <w:rFonts w:cs="Arial"/>
                <w:b/>
              </w:rPr>
              <w:t>5</w:t>
            </w:r>
            <w:r w:rsidRPr="001721D7">
              <w:rPr>
                <w:rFonts w:cs="Arial"/>
                <w:b/>
              </w:rPr>
              <w:t>4</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b/>
        </w:rPr>
      </w:pPr>
    </w:p>
    <w:p w:rsidR="00A72A4F" w:rsidRDefault="00A72A4F" w:rsidP="00A72A4F">
      <w:r>
        <w:t>55.</w:t>
      </w:r>
      <w:r>
        <w:tab/>
      </w:r>
      <w:r>
        <w:rPr>
          <w:lang w:val="en" w:eastAsia="en-GB"/>
        </w:rPr>
        <w:t>Section 11 of the Land Tenure Reform (Scotland) Act 1974 should be repealed.</w:t>
      </w:r>
    </w:p>
    <w:p w:rsidR="00A72A4F" w:rsidRDefault="00A72A4F" w:rsidP="00A72A4F">
      <w:pPr>
        <w:jc w:val="right"/>
      </w:pPr>
      <w:r>
        <w:t>(Paragraph 11.43)</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6D6281">
            <w:pPr>
              <w:rPr>
                <w:rFonts w:cs="Arial"/>
              </w:rPr>
            </w:pPr>
            <w:r w:rsidRPr="001721D7">
              <w:rPr>
                <w:rFonts w:cs="Arial"/>
                <w:b/>
              </w:rPr>
              <w:t xml:space="preserve">Comments on Proposal </w:t>
            </w:r>
            <w:r>
              <w:rPr>
                <w:rFonts w:cs="Arial"/>
                <w:b/>
              </w:rPr>
              <w:t>5</w:t>
            </w:r>
            <w:r w:rsidRPr="001721D7">
              <w:rPr>
                <w:rFonts w:cs="Arial"/>
                <w:b/>
              </w:rPr>
              <w:t>5</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tabs>
          <w:tab w:val="clear" w:pos="720"/>
          <w:tab w:val="clear" w:pos="1440"/>
        </w:tabs>
        <w:jc w:val="left"/>
        <w:rPr>
          <w:rFonts w:cs="Arial"/>
        </w:rPr>
      </w:pPr>
    </w:p>
    <w:p w:rsidR="00A72A4F" w:rsidRDefault="00A72A4F" w:rsidP="00A72A4F">
      <w:r>
        <w:t>56.</w:t>
      </w:r>
      <w:r>
        <w:tab/>
      </w:r>
      <w:r>
        <w:rPr>
          <w:lang w:val="en" w:eastAsia="en-GB"/>
        </w:rPr>
        <w:t xml:space="preserve">The doctrine of </w:t>
      </w:r>
      <w:r>
        <w:rPr>
          <w:i/>
          <w:lang w:val="en" w:eastAsia="en-GB"/>
        </w:rPr>
        <w:t xml:space="preserve">confusio </w:t>
      </w:r>
      <w:r>
        <w:rPr>
          <w:lang w:val="en" w:eastAsia="en-GB"/>
        </w:rPr>
        <w:t>should not extinguish a standard security.</w:t>
      </w:r>
    </w:p>
    <w:p w:rsidR="00A72A4F" w:rsidRDefault="00A72A4F" w:rsidP="00A72A4F">
      <w:pPr>
        <w:jc w:val="right"/>
      </w:pPr>
      <w:r>
        <w:t>(Paragraph 11.49)</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6D6281">
            <w:pPr>
              <w:rPr>
                <w:rFonts w:cs="Arial"/>
              </w:rPr>
            </w:pPr>
            <w:r w:rsidRPr="001721D7">
              <w:rPr>
                <w:rFonts w:cs="Arial"/>
                <w:b/>
              </w:rPr>
              <w:t xml:space="preserve">Comments on Proposal </w:t>
            </w:r>
            <w:r>
              <w:rPr>
                <w:rFonts w:cs="Arial"/>
                <w:b/>
              </w:rPr>
              <w:t>5</w:t>
            </w:r>
            <w:r w:rsidRPr="001721D7">
              <w:rPr>
                <w:rFonts w:cs="Arial"/>
                <w:b/>
              </w:rPr>
              <w:t>6</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rPr>
      </w:pPr>
    </w:p>
    <w:p w:rsidR="00A72A4F" w:rsidRDefault="00A72A4F" w:rsidP="00A72A4F">
      <w:pPr>
        <w:ind w:left="720" w:hanging="720"/>
      </w:pPr>
      <w:r>
        <w:t>57.</w:t>
      </w:r>
      <w:r>
        <w:tab/>
        <w:t>Should there be a sunset rule for standard securities? If so, what should be the period be? If not, why not?</w:t>
      </w:r>
    </w:p>
    <w:p w:rsidR="00A72A4F" w:rsidRDefault="00A72A4F" w:rsidP="00A72A4F">
      <w:pPr>
        <w:jc w:val="right"/>
      </w:pPr>
      <w:r>
        <w:t>(Paragraph 11.52)</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6D6281">
            <w:pPr>
              <w:rPr>
                <w:rFonts w:cs="Arial"/>
              </w:rPr>
            </w:pPr>
            <w:r w:rsidRPr="001721D7">
              <w:rPr>
                <w:rFonts w:cs="Arial"/>
                <w:b/>
              </w:rPr>
              <w:t xml:space="preserve">Comments on Proposal </w:t>
            </w:r>
            <w:r>
              <w:rPr>
                <w:rFonts w:cs="Arial"/>
                <w:b/>
              </w:rPr>
              <w:t>5</w:t>
            </w:r>
            <w:r w:rsidRPr="001721D7">
              <w:rPr>
                <w:rFonts w:cs="Arial"/>
                <w:b/>
              </w:rPr>
              <w:t>7</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pStyle w:val="BodyText"/>
        <w:tabs>
          <w:tab w:val="left" w:pos="1440"/>
        </w:tabs>
        <w:spacing w:after="240" w:line="280" w:lineRule="exact"/>
        <w:jc w:val="both"/>
        <w:rPr>
          <w:rFonts w:cs="Arial"/>
        </w:rPr>
      </w:pPr>
    </w:p>
    <w:p w:rsidR="00A72A4F" w:rsidRDefault="00A72A4F" w:rsidP="00A72A4F">
      <w:pPr>
        <w:ind w:left="720" w:hanging="720"/>
      </w:pPr>
      <w:r>
        <w:t>58.</w:t>
      </w:r>
      <w:r>
        <w:tab/>
        <w:t>The existing statutory provisions on the older forms of heritable security should be repealed.  Where necessary, appropriate provision should be made in the new legislation.</w:t>
      </w:r>
    </w:p>
    <w:p w:rsidR="00A72A4F" w:rsidRDefault="00A72A4F" w:rsidP="00A72A4F">
      <w:pPr>
        <w:jc w:val="right"/>
      </w:pPr>
      <w:r>
        <w:t>(Paragraph 12.6)</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6D6281">
            <w:pPr>
              <w:rPr>
                <w:rFonts w:cs="Arial"/>
              </w:rPr>
            </w:pPr>
            <w:r w:rsidRPr="001721D7">
              <w:rPr>
                <w:rFonts w:cs="Arial"/>
                <w:b/>
              </w:rPr>
              <w:lastRenderedPageBreak/>
              <w:t xml:space="preserve">Comments on Proposal </w:t>
            </w:r>
            <w:r>
              <w:rPr>
                <w:rFonts w:cs="Arial"/>
                <w:b/>
              </w:rPr>
              <w:t>5</w:t>
            </w:r>
            <w:r w:rsidRPr="001721D7">
              <w:rPr>
                <w:rFonts w:cs="Arial"/>
                <w:b/>
              </w:rPr>
              <w:t>8</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rPr>
      </w:pPr>
    </w:p>
    <w:p w:rsidR="00A72A4F" w:rsidRDefault="00A72A4F" w:rsidP="00A72A4F">
      <w:r>
        <w:t>59.</w:t>
      </w:r>
      <w:r>
        <w:tab/>
        <w:t xml:space="preserve">The rules in relation to transactions involving, and the enforcement of, a  </w:t>
      </w:r>
    </w:p>
    <w:p w:rsidR="00A72A4F" w:rsidRDefault="00A72A4F" w:rsidP="00A72A4F">
      <w:pPr>
        <w:ind w:left="720"/>
      </w:pPr>
      <w:r>
        <w:t>(a)</w:t>
      </w:r>
      <w:r>
        <w:tab/>
        <w:t xml:space="preserve">bond and disposition in security, or </w:t>
      </w:r>
    </w:p>
    <w:p w:rsidR="00A72A4F" w:rsidRDefault="00A72A4F" w:rsidP="00A72A4F">
      <w:pPr>
        <w:ind w:left="720"/>
      </w:pPr>
      <w:r>
        <w:t>(b)</w:t>
      </w:r>
      <w:r>
        <w:tab/>
        <w:t>bond of cash credit and disposition in security,</w:t>
      </w:r>
    </w:p>
    <w:p w:rsidR="00A72A4F" w:rsidRDefault="00A72A4F" w:rsidP="00A72A4F">
      <w:pPr>
        <w:ind w:left="720"/>
      </w:pPr>
      <w:r>
        <w:t xml:space="preserve">should be the same as for the standard security with appropriate modifications.  Any sunset rule for standard securities should also apply to these securities.  </w:t>
      </w:r>
    </w:p>
    <w:p w:rsidR="00A72A4F" w:rsidRDefault="00A72A4F" w:rsidP="00A72A4F">
      <w:pPr>
        <w:jc w:val="right"/>
      </w:pPr>
      <w:r>
        <w:t>(Paragraph 12.12)</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6D6281">
            <w:pPr>
              <w:rPr>
                <w:rFonts w:cs="Arial"/>
              </w:rPr>
            </w:pPr>
            <w:r w:rsidRPr="001721D7">
              <w:rPr>
                <w:rFonts w:cs="Arial"/>
                <w:b/>
              </w:rPr>
              <w:t xml:space="preserve">Comments on Proposal </w:t>
            </w:r>
            <w:r>
              <w:rPr>
                <w:rFonts w:cs="Arial"/>
                <w:b/>
              </w:rPr>
              <w:t>5</w:t>
            </w:r>
            <w:r w:rsidRPr="001721D7">
              <w:rPr>
                <w:rFonts w:cs="Arial"/>
                <w:b/>
              </w:rPr>
              <w:t>9</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rPr>
      </w:pPr>
    </w:p>
    <w:p w:rsidR="00A72A4F" w:rsidRDefault="00A72A4F" w:rsidP="00A72A4F">
      <w:pPr>
        <w:ind w:left="720" w:hanging="720"/>
      </w:pPr>
      <w:r>
        <w:t>60.</w:t>
      </w:r>
      <w:r>
        <w:tab/>
        <w:t xml:space="preserve">Section 40 and Schedule 9 of the 1970 Act (which provide for a form of discharge for the </w:t>
      </w:r>
      <w:r>
        <w:rPr>
          <w:i/>
        </w:rPr>
        <w:t xml:space="preserve">ex facie </w:t>
      </w:r>
      <w:r>
        <w:t>absolute disposition) should be repealed and not replaced.</w:t>
      </w:r>
    </w:p>
    <w:p w:rsidR="00A72A4F" w:rsidRDefault="00A72A4F" w:rsidP="00A72A4F">
      <w:pPr>
        <w:jc w:val="right"/>
      </w:pPr>
      <w:r>
        <w:t>(Paragraph 12.18)</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6D6281">
            <w:pPr>
              <w:rPr>
                <w:rFonts w:cs="Arial"/>
              </w:rPr>
            </w:pPr>
            <w:r>
              <w:rPr>
                <w:rFonts w:cs="Arial"/>
                <w:b/>
              </w:rPr>
              <w:t>Comments on Proposal 6</w:t>
            </w:r>
            <w:r w:rsidRPr="001721D7">
              <w:rPr>
                <w:rFonts w:cs="Arial"/>
                <w:b/>
              </w:rPr>
              <w:t>0</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1721D7" w:rsidRDefault="001721D7">
      <w:pPr>
        <w:rPr>
          <w:rFonts w:cs="Arial"/>
        </w:rPr>
      </w:pPr>
    </w:p>
    <w:p w:rsidR="00A72A4F" w:rsidRDefault="00A72A4F" w:rsidP="00A72A4F">
      <w:pPr>
        <w:ind w:left="720" w:hanging="720"/>
      </w:pPr>
      <w:r>
        <w:t>61.</w:t>
      </w:r>
      <w:r>
        <w:tab/>
        <w:t xml:space="preserve">Should the new legislation make provision to bring </w:t>
      </w:r>
      <w:r>
        <w:rPr>
          <w:i/>
        </w:rPr>
        <w:t xml:space="preserve">ex facie </w:t>
      </w:r>
      <w:r>
        <w:t>absolute disposition arrangements to an end? If so, how?</w:t>
      </w:r>
    </w:p>
    <w:p w:rsidR="00A72A4F" w:rsidRDefault="00A72A4F" w:rsidP="00A72A4F">
      <w:pPr>
        <w:jc w:val="right"/>
      </w:pPr>
      <w:r>
        <w:t>(Paragraph 12.25)</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6D6281">
            <w:pPr>
              <w:rPr>
                <w:rFonts w:cs="Arial"/>
              </w:rPr>
            </w:pPr>
            <w:r w:rsidRPr="001721D7">
              <w:rPr>
                <w:rFonts w:cs="Arial"/>
                <w:b/>
              </w:rPr>
              <w:t xml:space="preserve">Comments on Proposal </w:t>
            </w:r>
            <w:r>
              <w:rPr>
                <w:rFonts w:cs="Arial"/>
                <w:b/>
              </w:rPr>
              <w:t>6</w:t>
            </w:r>
            <w:r w:rsidRPr="001721D7">
              <w:rPr>
                <w:rFonts w:cs="Arial"/>
                <w:b/>
              </w:rPr>
              <w:t>1</w:t>
            </w:r>
          </w:p>
          <w:p w:rsidR="00917473" w:rsidRPr="001721D7" w:rsidRDefault="00917473" w:rsidP="006D6281">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b/>
              </w:rPr>
            </w:pPr>
            <w:r w:rsidRPr="001721D7">
              <w:rPr>
                <w:rFonts w:cs="Arial"/>
                <w:b/>
              </w:rPr>
              <w:t>General Comments</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17473">
              <w:rPr>
                <w:rFonts w:cs="Arial"/>
                <w:noProof/>
              </w:rPr>
              <w:t>«InsertTextHere»</w:t>
            </w:r>
            <w:r w:rsidRPr="001721D7">
              <w:rPr>
                <w:rFonts w:cs="Arial"/>
              </w:rPr>
              <w:fldChar w:fldCharType="end"/>
            </w:r>
          </w:p>
        </w:tc>
      </w:tr>
    </w:tbl>
    <w:p w:rsidR="001721D7" w:rsidRDefault="001721D7">
      <w:pPr>
        <w:rPr>
          <w:rFonts w:cs="Arial"/>
        </w:rPr>
      </w:pPr>
    </w:p>
    <w:p w:rsidR="001721D7" w:rsidRDefault="003A4ED7" w:rsidP="009F355F">
      <w:pPr>
        <w:spacing w:after="0"/>
        <w:rPr>
          <w:rFonts w:cs="Arial"/>
        </w:rPr>
      </w:pPr>
      <w:r>
        <w:rPr>
          <w:rFonts w:cs="Arial"/>
        </w:rPr>
        <w:lastRenderedPageBreak/>
        <w:t xml:space="preserve">Thank </w:t>
      </w:r>
      <w:r w:rsidR="00D73010">
        <w:rPr>
          <w:rFonts w:cs="Arial"/>
        </w:rPr>
        <w:t>you for taking the time</w:t>
      </w:r>
      <w:r w:rsidR="00EC3EFF">
        <w:rPr>
          <w:rFonts w:cs="Arial"/>
        </w:rPr>
        <w:t xml:space="preserve"> to respond to this Discussion P</w:t>
      </w:r>
      <w:r w:rsidR="00D73010">
        <w:rPr>
          <w:rFonts w:cs="Arial"/>
        </w:rPr>
        <w:t>aper.  Your comments are appreciated and will be taken into consideration when preparing a report containing our final recommendations.</w:t>
      </w:r>
    </w:p>
    <w:p w:rsidR="00D73010" w:rsidRPr="001721D7" w:rsidRDefault="00D73010">
      <w:pPr>
        <w:rPr>
          <w:rFonts w:cs="Arial"/>
        </w:rPr>
      </w:pPr>
    </w:p>
    <w:sectPr w:rsidR="00D73010" w:rsidRPr="001721D7">
      <w:footerReference w:type="even" r:id="rId10"/>
      <w:footerReference w:type="default" r:id="rId11"/>
      <w:pgSz w:w="11909" w:h="16834"/>
      <w:pgMar w:top="1440" w:right="1440" w:bottom="1440" w:left="1440" w:header="70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473" w:rsidRDefault="00917473">
      <w:r>
        <w:separator/>
      </w:r>
    </w:p>
  </w:endnote>
  <w:endnote w:type="continuationSeparator" w:id="0">
    <w:p w:rsidR="00917473" w:rsidRDefault="00917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4A5" w:rsidRDefault="003F6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64A5" w:rsidRDefault="003F6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4A5" w:rsidRDefault="003F6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407F">
      <w:rPr>
        <w:rStyle w:val="PageNumber"/>
        <w:noProof/>
      </w:rPr>
      <w:t>14</w:t>
    </w:r>
    <w:r>
      <w:rPr>
        <w:rStyle w:val="PageNumber"/>
      </w:rPr>
      <w:fldChar w:fldCharType="end"/>
    </w:r>
  </w:p>
  <w:p w:rsidR="003F64A5" w:rsidRDefault="003F64A5">
    <w:pPr>
      <w:pStyle w:val="Footer"/>
      <w:tabs>
        <w:tab w:val="left" w:pos="2520"/>
      </w:tabs>
      <w:spacing w:after="0"/>
      <w:rPr>
        <w:sz w:val="18"/>
      </w:rPr>
    </w:pPr>
  </w:p>
  <w:p w:rsidR="003F64A5" w:rsidRDefault="003F64A5">
    <w:pPr>
      <w:pStyle w:val="Footer"/>
      <w:spacing w:after="0" w:line="200" w:lineRule="exac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473" w:rsidRDefault="00917473">
      <w:r>
        <w:separator/>
      </w:r>
    </w:p>
  </w:footnote>
  <w:footnote w:type="continuationSeparator" w:id="0">
    <w:p w:rsidR="00917473" w:rsidRDefault="00917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9CEBAE6"/>
    <w:lvl w:ilvl="0">
      <w:start w:val="1"/>
      <w:numFmt w:val="decimal"/>
      <w:pStyle w:val="Heading1"/>
      <w:lvlText w:val="%1."/>
      <w:lvlJc w:val="left"/>
      <w:pPr>
        <w:tabs>
          <w:tab w:val="num" w:pos="0"/>
        </w:tabs>
        <w:ind w:left="0" w:firstLine="0"/>
      </w:pPr>
    </w:lvl>
    <w:lvl w:ilvl="1">
      <w:start w:val="1"/>
      <w:numFmt w:val="decimal"/>
      <w:pStyle w:val="Heading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15:restartNumberingAfterBreak="0">
    <w:nsid w:val="01C17144"/>
    <w:multiLevelType w:val="singleLevel"/>
    <w:tmpl w:val="C91AA670"/>
    <w:lvl w:ilvl="0">
      <w:start w:val="1"/>
      <w:numFmt w:val="lowerLetter"/>
      <w:lvlText w:val="%1."/>
      <w:legacy w:legacy="1" w:legacySpace="288" w:legacyIndent="720"/>
      <w:lvlJc w:val="left"/>
    </w:lvl>
  </w:abstractNum>
  <w:abstractNum w:abstractNumId="2" w15:restartNumberingAfterBreak="0">
    <w:nsid w:val="05DD137E"/>
    <w:multiLevelType w:val="singleLevel"/>
    <w:tmpl w:val="C91AA670"/>
    <w:lvl w:ilvl="0">
      <w:start w:val="1"/>
      <w:numFmt w:val="lowerLetter"/>
      <w:lvlText w:val="%1."/>
      <w:legacy w:legacy="1" w:legacySpace="288" w:legacyIndent="720"/>
      <w:lvlJc w:val="left"/>
    </w:lvl>
  </w:abstractNum>
  <w:abstractNum w:abstractNumId="3" w15:restartNumberingAfterBreak="0">
    <w:nsid w:val="0D9700E8"/>
    <w:multiLevelType w:val="singleLevel"/>
    <w:tmpl w:val="C91AA670"/>
    <w:lvl w:ilvl="0">
      <w:start w:val="1"/>
      <w:numFmt w:val="lowerLetter"/>
      <w:lvlText w:val="%1."/>
      <w:legacy w:legacy="1" w:legacySpace="288" w:legacyIndent="720"/>
      <w:lvlJc w:val="left"/>
    </w:lvl>
  </w:abstractNum>
  <w:abstractNum w:abstractNumId="4" w15:restartNumberingAfterBreak="0">
    <w:nsid w:val="108026DF"/>
    <w:multiLevelType w:val="singleLevel"/>
    <w:tmpl w:val="C91AA670"/>
    <w:lvl w:ilvl="0">
      <w:start w:val="1"/>
      <w:numFmt w:val="lowerLetter"/>
      <w:lvlText w:val="%1."/>
      <w:legacy w:legacy="1" w:legacySpace="288" w:legacyIndent="720"/>
      <w:lvlJc w:val="left"/>
    </w:lvl>
  </w:abstractNum>
  <w:abstractNum w:abstractNumId="5" w15:restartNumberingAfterBreak="0">
    <w:nsid w:val="15023502"/>
    <w:multiLevelType w:val="singleLevel"/>
    <w:tmpl w:val="C91AA670"/>
    <w:lvl w:ilvl="0">
      <w:start w:val="1"/>
      <w:numFmt w:val="lowerLetter"/>
      <w:lvlText w:val="%1."/>
      <w:legacy w:legacy="1" w:legacySpace="288" w:legacyIndent="720"/>
      <w:lvlJc w:val="left"/>
    </w:lvl>
  </w:abstractNum>
  <w:abstractNum w:abstractNumId="6" w15:restartNumberingAfterBreak="0">
    <w:nsid w:val="177176C4"/>
    <w:multiLevelType w:val="singleLevel"/>
    <w:tmpl w:val="C91AA670"/>
    <w:lvl w:ilvl="0">
      <w:start w:val="1"/>
      <w:numFmt w:val="lowerLetter"/>
      <w:lvlText w:val="%1."/>
      <w:legacy w:legacy="1" w:legacySpace="288" w:legacyIndent="720"/>
      <w:lvlJc w:val="left"/>
    </w:lvl>
  </w:abstractNum>
  <w:abstractNum w:abstractNumId="7" w15:restartNumberingAfterBreak="0">
    <w:nsid w:val="21A746B2"/>
    <w:multiLevelType w:val="singleLevel"/>
    <w:tmpl w:val="C91AA670"/>
    <w:lvl w:ilvl="0">
      <w:start w:val="1"/>
      <w:numFmt w:val="lowerLetter"/>
      <w:lvlText w:val="%1."/>
      <w:legacy w:legacy="1" w:legacySpace="288" w:legacyIndent="720"/>
      <w:lvlJc w:val="left"/>
    </w:lvl>
  </w:abstractNum>
  <w:abstractNum w:abstractNumId="8" w15:restartNumberingAfterBreak="0">
    <w:nsid w:val="24F805EB"/>
    <w:multiLevelType w:val="multilevel"/>
    <w:tmpl w:val="618CAD1E"/>
    <w:styleLink w:val="Chaptersandparanumbers"/>
    <w:lvl w:ilvl="0">
      <w:start w:val="1"/>
      <w:numFmt w:val="decimal"/>
      <w:pStyle w:val="ChHeading"/>
      <w:lvlText w:val="Chapter %1"/>
      <w:lvlJc w:val="left"/>
      <w:pPr>
        <w:ind w:left="360" w:hanging="360"/>
      </w:pPr>
    </w:lvl>
    <w:lvl w:ilvl="1">
      <w:start w:val="1"/>
      <w:numFmt w:val="decimal"/>
      <w:pStyle w:val="NumberedParagraph"/>
      <w:lvlText w:val="%1.%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036B2C"/>
    <w:multiLevelType w:val="singleLevel"/>
    <w:tmpl w:val="C91AA670"/>
    <w:lvl w:ilvl="0">
      <w:start w:val="1"/>
      <w:numFmt w:val="lowerLetter"/>
      <w:lvlText w:val="%1."/>
      <w:legacy w:legacy="1" w:legacySpace="288" w:legacyIndent="720"/>
      <w:lvlJc w:val="left"/>
    </w:lvl>
  </w:abstractNum>
  <w:abstractNum w:abstractNumId="10" w15:restartNumberingAfterBreak="0">
    <w:nsid w:val="2E2A2B3E"/>
    <w:multiLevelType w:val="singleLevel"/>
    <w:tmpl w:val="C91AA670"/>
    <w:lvl w:ilvl="0">
      <w:start w:val="1"/>
      <w:numFmt w:val="lowerLetter"/>
      <w:lvlText w:val="%1."/>
      <w:legacy w:legacy="1" w:legacySpace="288" w:legacyIndent="720"/>
      <w:lvlJc w:val="left"/>
    </w:lvl>
  </w:abstractNum>
  <w:abstractNum w:abstractNumId="11" w15:restartNumberingAfterBreak="0">
    <w:nsid w:val="31276A2E"/>
    <w:multiLevelType w:val="singleLevel"/>
    <w:tmpl w:val="C91AA670"/>
    <w:lvl w:ilvl="0">
      <w:start w:val="1"/>
      <w:numFmt w:val="lowerLetter"/>
      <w:lvlText w:val="%1."/>
      <w:legacy w:legacy="1" w:legacySpace="288" w:legacyIndent="720"/>
      <w:lvlJc w:val="left"/>
    </w:lvl>
  </w:abstractNum>
  <w:abstractNum w:abstractNumId="12" w15:restartNumberingAfterBreak="0">
    <w:nsid w:val="348A4EC1"/>
    <w:multiLevelType w:val="singleLevel"/>
    <w:tmpl w:val="C91AA670"/>
    <w:lvl w:ilvl="0">
      <w:start w:val="1"/>
      <w:numFmt w:val="lowerLetter"/>
      <w:lvlText w:val="%1."/>
      <w:legacy w:legacy="1" w:legacySpace="288" w:legacyIndent="720"/>
      <w:lvlJc w:val="left"/>
    </w:lvl>
  </w:abstractNum>
  <w:abstractNum w:abstractNumId="13" w15:restartNumberingAfterBreak="0">
    <w:nsid w:val="35CD3F82"/>
    <w:multiLevelType w:val="singleLevel"/>
    <w:tmpl w:val="C91AA670"/>
    <w:lvl w:ilvl="0">
      <w:start w:val="1"/>
      <w:numFmt w:val="lowerLetter"/>
      <w:lvlText w:val="%1."/>
      <w:legacy w:legacy="1" w:legacySpace="288" w:legacyIndent="720"/>
      <w:lvlJc w:val="left"/>
    </w:lvl>
  </w:abstractNum>
  <w:abstractNum w:abstractNumId="14" w15:restartNumberingAfterBreak="0">
    <w:nsid w:val="3AFE5E18"/>
    <w:multiLevelType w:val="singleLevel"/>
    <w:tmpl w:val="C91AA670"/>
    <w:lvl w:ilvl="0">
      <w:start w:val="1"/>
      <w:numFmt w:val="lowerLetter"/>
      <w:lvlText w:val="%1."/>
      <w:legacy w:legacy="1" w:legacySpace="288" w:legacyIndent="720"/>
      <w:lvlJc w:val="left"/>
    </w:lvl>
  </w:abstractNum>
  <w:abstractNum w:abstractNumId="15" w15:restartNumberingAfterBreak="0">
    <w:nsid w:val="3B8B7F10"/>
    <w:multiLevelType w:val="singleLevel"/>
    <w:tmpl w:val="C91AA670"/>
    <w:lvl w:ilvl="0">
      <w:start w:val="1"/>
      <w:numFmt w:val="lowerLetter"/>
      <w:lvlText w:val="%1."/>
      <w:legacy w:legacy="1" w:legacySpace="288" w:legacyIndent="720"/>
      <w:lvlJc w:val="left"/>
    </w:lvl>
  </w:abstractNum>
  <w:abstractNum w:abstractNumId="16" w15:restartNumberingAfterBreak="0">
    <w:nsid w:val="3C8C7E7C"/>
    <w:multiLevelType w:val="singleLevel"/>
    <w:tmpl w:val="C91AA670"/>
    <w:lvl w:ilvl="0">
      <w:start w:val="1"/>
      <w:numFmt w:val="lowerLetter"/>
      <w:lvlText w:val="%1."/>
      <w:legacy w:legacy="1" w:legacySpace="288" w:legacyIndent="720"/>
      <w:lvlJc w:val="left"/>
    </w:lvl>
  </w:abstractNum>
  <w:abstractNum w:abstractNumId="17" w15:restartNumberingAfterBreak="0">
    <w:nsid w:val="42A876FF"/>
    <w:multiLevelType w:val="singleLevel"/>
    <w:tmpl w:val="C91AA670"/>
    <w:lvl w:ilvl="0">
      <w:start w:val="1"/>
      <w:numFmt w:val="lowerLetter"/>
      <w:lvlText w:val="%1."/>
      <w:legacy w:legacy="1" w:legacySpace="288" w:legacyIndent="720"/>
      <w:lvlJc w:val="left"/>
    </w:lvl>
  </w:abstractNum>
  <w:abstractNum w:abstractNumId="18" w15:restartNumberingAfterBreak="0">
    <w:nsid w:val="45BF76D5"/>
    <w:multiLevelType w:val="singleLevel"/>
    <w:tmpl w:val="17C893C4"/>
    <w:lvl w:ilvl="0">
      <w:start w:val="2"/>
      <w:numFmt w:val="lowerLetter"/>
      <w:lvlText w:val="(%1)"/>
      <w:lvlJc w:val="left"/>
      <w:pPr>
        <w:tabs>
          <w:tab w:val="num" w:pos="1080"/>
        </w:tabs>
        <w:ind w:left="1080" w:hanging="360"/>
      </w:pPr>
      <w:rPr>
        <w:rFonts w:hint="default"/>
      </w:rPr>
    </w:lvl>
  </w:abstractNum>
  <w:abstractNum w:abstractNumId="19" w15:restartNumberingAfterBreak="0">
    <w:nsid w:val="46364AB2"/>
    <w:multiLevelType w:val="multilevel"/>
    <w:tmpl w:val="256C148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0" w15:restartNumberingAfterBreak="0">
    <w:nsid w:val="48DF6A39"/>
    <w:multiLevelType w:val="singleLevel"/>
    <w:tmpl w:val="C91AA670"/>
    <w:lvl w:ilvl="0">
      <w:start w:val="1"/>
      <w:numFmt w:val="lowerLetter"/>
      <w:lvlText w:val="%1."/>
      <w:legacy w:legacy="1" w:legacySpace="288" w:legacyIndent="720"/>
      <w:lvlJc w:val="left"/>
    </w:lvl>
  </w:abstractNum>
  <w:abstractNum w:abstractNumId="21" w15:restartNumberingAfterBreak="0">
    <w:nsid w:val="49690F9C"/>
    <w:multiLevelType w:val="multilevel"/>
    <w:tmpl w:val="3D56567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2" w15:restartNumberingAfterBreak="0">
    <w:nsid w:val="543E0E21"/>
    <w:multiLevelType w:val="singleLevel"/>
    <w:tmpl w:val="C91AA670"/>
    <w:lvl w:ilvl="0">
      <w:start w:val="1"/>
      <w:numFmt w:val="lowerLetter"/>
      <w:lvlText w:val="%1."/>
      <w:legacy w:legacy="1" w:legacySpace="288" w:legacyIndent="720"/>
      <w:lvlJc w:val="left"/>
    </w:lvl>
  </w:abstractNum>
  <w:abstractNum w:abstractNumId="23" w15:restartNumberingAfterBreak="0">
    <w:nsid w:val="587A00A5"/>
    <w:multiLevelType w:val="multilevel"/>
    <w:tmpl w:val="1A800FF8"/>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4" w15:restartNumberingAfterBreak="0">
    <w:nsid w:val="611A6346"/>
    <w:multiLevelType w:val="singleLevel"/>
    <w:tmpl w:val="C91AA670"/>
    <w:lvl w:ilvl="0">
      <w:start w:val="1"/>
      <w:numFmt w:val="lowerLetter"/>
      <w:lvlText w:val="%1."/>
      <w:legacy w:legacy="1" w:legacySpace="288" w:legacyIndent="720"/>
      <w:lvlJc w:val="left"/>
    </w:lvl>
  </w:abstractNum>
  <w:abstractNum w:abstractNumId="25" w15:restartNumberingAfterBreak="0">
    <w:nsid w:val="65E71ABB"/>
    <w:multiLevelType w:val="singleLevel"/>
    <w:tmpl w:val="C91AA670"/>
    <w:lvl w:ilvl="0">
      <w:start w:val="1"/>
      <w:numFmt w:val="lowerLetter"/>
      <w:lvlText w:val="%1."/>
      <w:legacy w:legacy="1" w:legacySpace="288" w:legacyIndent="720"/>
      <w:lvlJc w:val="left"/>
    </w:lvl>
  </w:abstractNum>
  <w:abstractNum w:abstractNumId="26" w15:restartNumberingAfterBreak="0">
    <w:nsid w:val="68874A0D"/>
    <w:multiLevelType w:val="singleLevel"/>
    <w:tmpl w:val="C91AA670"/>
    <w:lvl w:ilvl="0">
      <w:start w:val="1"/>
      <w:numFmt w:val="lowerLetter"/>
      <w:lvlText w:val="%1."/>
      <w:legacy w:legacy="1" w:legacySpace="288" w:legacyIndent="720"/>
      <w:lvlJc w:val="left"/>
    </w:lvl>
  </w:abstractNum>
  <w:abstractNum w:abstractNumId="27" w15:restartNumberingAfterBreak="0">
    <w:nsid w:val="71E2383C"/>
    <w:multiLevelType w:val="singleLevel"/>
    <w:tmpl w:val="C91AA670"/>
    <w:lvl w:ilvl="0">
      <w:start w:val="1"/>
      <w:numFmt w:val="lowerLetter"/>
      <w:lvlText w:val="%1."/>
      <w:legacy w:legacy="1" w:legacySpace="288" w:legacyIndent="720"/>
      <w:lvlJc w:val="left"/>
    </w:lvl>
  </w:abstractNum>
  <w:abstractNum w:abstractNumId="28" w15:restartNumberingAfterBreak="0">
    <w:nsid w:val="7CC553CF"/>
    <w:multiLevelType w:val="singleLevel"/>
    <w:tmpl w:val="6492C34C"/>
    <w:lvl w:ilvl="0">
      <w:start w:val="1"/>
      <w:numFmt w:val="decimal"/>
      <w:pStyle w:val="PropRecs"/>
      <w:lvlText w:val="%1."/>
      <w:lvlJc w:val="left"/>
      <w:pPr>
        <w:tabs>
          <w:tab w:val="num" w:pos="1296"/>
        </w:tabs>
        <w:ind w:left="1296" w:hanging="576"/>
      </w:pPr>
    </w:lvl>
  </w:abstractNum>
  <w:abstractNum w:abstractNumId="29" w15:restartNumberingAfterBreak="0">
    <w:nsid w:val="7EAB3554"/>
    <w:multiLevelType w:val="singleLevel"/>
    <w:tmpl w:val="C91AA670"/>
    <w:lvl w:ilvl="0">
      <w:start w:val="1"/>
      <w:numFmt w:val="lowerLetter"/>
      <w:lvlText w:val="%1."/>
      <w:legacy w:legacy="1" w:legacySpace="288" w:legacyIndent="720"/>
      <w:lvlJc w:val="left"/>
    </w:lvl>
  </w:abstractNum>
  <w:abstractNum w:abstractNumId="30" w15:restartNumberingAfterBreak="0">
    <w:nsid w:val="7FF53D2A"/>
    <w:multiLevelType w:val="singleLevel"/>
    <w:tmpl w:val="C91AA670"/>
    <w:lvl w:ilvl="0">
      <w:start w:val="1"/>
      <w:numFmt w:val="lowerLetter"/>
      <w:lvlText w:val="%1."/>
      <w:legacy w:legacy="1" w:legacySpace="288" w:legacyIndent="720"/>
      <w:lvlJc w:val="left"/>
    </w:lvl>
  </w:abstractNum>
  <w:num w:numId="1">
    <w:abstractNumId w:val="0"/>
  </w:num>
  <w:num w:numId="2">
    <w:abstractNumId w:val="28"/>
  </w:num>
  <w:num w:numId="3">
    <w:abstractNumId w:val="3"/>
  </w:num>
  <w:num w:numId="4">
    <w:abstractNumId w:val="17"/>
  </w:num>
  <w:num w:numId="5">
    <w:abstractNumId w:val="15"/>
  </w:num>
  <w:num w:numId="6">
    <w:abstractNumId w:val="26"/>
  </w:num>
  <w:num w:numId="7">
    <w:abstractNumId w:val="2"/>
  </w:num>
  <w:num w:numId="8">
    <w:abstractNumId w:val="28"/>
  </w:num>
  <w:num w:numId="9">
    <w:abstractNumId w:val="7"/>
  </w:num>
  <w:num w:numId="10">
    <w:abstractNumId w:val="13"/>
  </w:num>
  <w:num w:numId="11">
    <w:abstractNumId w:val="27"/>
  </w:num>
  <w:num w:numId="12">
    <w:abstractNumId w:val="11"/>
  </w:num>
  <w:num w:numId="13">
    <w:abstractNumId w:val="5"/>
  </w:num>
  <w:num w:numId="14">
    <w:abstractNumId w:val="20"/>
  </w:num>
  <w:num w:numId="15">
    <w:abstractNumId w:val="29"/>
  </w:num>
  <w:num w:numId="16">
    <w:abstractNumId w:val="30"/>
  </w:num>
  <w:num w:numId="17">
    <w:abstractNumId w:val="4"/>
  </w:num>
  <w:num w:numId="18">
    <w:abstractNumId w:val="9"/>
  </w:num>
  <w:num w:numId="19">
    <w:abstractNumId w:val="6"/>
  </w:num>
  <w:num w:numId="20">
    <w:abstractNumId w:val="22"/>
  </w:num>
  <w:num w:numId="21">
    <w:abstractNumId w:val="1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0"/>
    <w:lvlOverride w:ilvl="0">
      <w:startOverride w:val="9"/>
    </w:lvlOverride>
  </w:num>
  <w:num w:numId="25">
    <w:abstractNumId w:val="19"/>
  </w:num>
  <w:num w:numId="26">
    <w:abstractNumId w:val="21"/>
  </w:num>
  <w:num w:numId="27">
    <w:abstractNumId w:val="12"/>
  </w:num>
  <w:num w:numId="28">
    <w:abstractNumId w:val="24"/>
  </w:num>
  <w:num w:numId="29">
    <w:abstractNumId w:val="14"/>
  </w:num>
  <w:num w:numId="30">
    <w:abstractNumId w:val="1"/>
  </w:num>
  <w:num w:numId="31">
    <w:abstractNumId w:val="10"/>
  </w:num>
  <w:num w:numId="32">
    <w:abstractNumId w:val="25"/>
  </w:num>
  <w:num w:numId="33">
    <w:abstractNumId w:val="16"/>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473"/>
    <w:rsid w:val="000159CB"/>
    <w:rsid w:val="00052C0D"/>
    <w:rsid w:val="000A3CF5"/>
    <w:rsid w:val="0011407F"/>
    <w:rsid w:val="001217DA"/>
    <w:rsid w:val="001721D7"/>
    <w:rsid w:val="001727FC"/>
    <w:rsid w:val="001909DB"/>
    <w:rsid w:val="00193A11"/>
    <w:rsid w:val="001B4A68"/>
    <w:rsid w:val="00235E7F"/>
    <w:rsid w:val="0026582F"/>
    <w:rsid w:val="002A3DC4"/>
    <w:rsid w:val="003A4ED7"/>
    <w:rsid w:val="003F64A5"/>
    <w:rsid w:val="00441C79"/>
    <w:rsid w:val="004C69FA"/>
    <w:rsid w:val="00513B3B"/>
    <w:rsid w:val="00586553"/>
    <w:rsid w:val="006A2671"/>
    <w:rsid w:val="006F0AA1"/>
    <w:rsid w:val="007209EA"/>
    <w:rsid w:val="007C7826"/>
    <w:rsid w:val="00806B61"/>
    <w:rsid w:val="0088343D"/>
    <w:rsid w:val="008C0097"/>
    <w:rsid w:val="00917473"/>
    <w:rsid w:val="009C383B"/>
    <w:rsid w:val="009F355F"/>
    <w:rsid w:val="00A215D7"/>
    <w:rsid w:val="00A72A4F"/>
    <w:rsid w:val="00A7363D"/>
    <w:rsid w:val="00B14B04"/>
    <w:rsid w:val="00B738CB"/>
    <w:rsid w:val="00BE2DF8"/>
    <w:rsid w:val="00C539FD"/>
    <w:rsid w:val="00CE29B3"/>
    <w:rsid w:val="00D73010"/>
    <w:rsid w:val="00DD7C6C"/>
    <w:rsid w:val="00E41BBB"/>
    <w:rsid w:val="00E611FA"/>
    <w:rsid w:val="00EC37E4"/>
    <w:rsid w:val="00EC3EFF"/>
    <w:rsid w:val="00F97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913B4A6"/>
  <w15:chartTrackingRefBased/>
  <w15:docId w15:val="{ABF4C865-D65B-4A15-84B7-A5E5E6D4F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D7"/>
    <w:pPr>
      <w:tabs>
        <w:tab w:val="left" w:pos="720"/>
        <w:tab w:val="left" w:pos="1440"/>
        <w:tab w:val="left" w:pos="2160"/>
        <w:tab w:val="left" w:pos="2880"/>
        <w:tab w:val="left" w:pos="4680"/>
        <w:tab w:val="left" w:pos="5400"/>
        <w:tab w:val="right" w:pos="9000"/>
      </w:tabs>
      <w:spacing w:after="240" w:line="280" w:lineRule="exact"/>
      <w:jc w:val="both"/>
    </w:pPr>
    <w:rPr>
      <w:rFonts w:ascii="Arial" w:hAnsi="Arial"/>
      <w:sz w:val="22"/>
      <w:lang w:eastAsia="en-US"/>
    </w:rPr>
  </w:style>
  <w:style w:type="paragraph" w:styleId="Heading1">
    <w:name w:val="heading 1"/>
    <w:aliases w:val="Outline1"/>
    <w:basedOn w:val="Normal"/>
    <w:next w:val="Normal"/>
    <w:qFormat/>
    <w:rsid w:val="00A215D7"/>
    <w:pPr>
      <w:numPr>
        <w:numId w:val="1"/>
      </w:numPr>
      <w:outlineLvl w:val="0"/>
    </w:pPr>
    <w:rPr>
      <w:kern w:val="24"/>
    </w:rPr>
  </w:style>
  <w:style w:type="paragraph" w:styleId="Heading2">
    <w:name w:val="heading 2"/>
    <w:aliases w:val="Outline2"/>
    <w:basedOn w:val="Normal"/>
    <w:next w:val="Normal"/>
    <w:qFormat/>
    <w:rsid w:val="00A215D7"/>
    <w:pPr>
      <w:numPr>
        <w:ilvl w:val="1"/>
        <w:numId w:val="1"/>
      </w:numPr>
      <w:outlineLvl w:val="1"/>
    </w:pPr>
    <w:rPr>
      <w:kern w:val="24"/>
    </w:rPr>
  </w:style>
  <w:style w:type="paragraph" w:styleId="Heading3">
    <w:name w:val="heading 3"/>
    <w:aliases w:val="Outline3"/>
    <w:basedOn w:val="Normal"/>
    <w:next w:val="Normal"/>
    <w:qFormat/>
    <w:rsid w:val="00A215D7"/>
    <w:pPr>
      <w:keepNext/>
      <w:tabs>
        <w:tab w:val="clear" w:pos="1440"/>
        <w:tab w:val="clear" w:pos="2160"/>
        <w:tab w:val="clear" w:pos="2880"/>
        <w:tab w:val="clear" w:pos="4680"/>
        <w:tab w:val="clear" w:pos="5400"/>
        <w:tab w:val="clear" w:pos="9000"/>
      </w:tabs>
      <w:jc w:val="left"/>
      <w:outlineLvl w:val="2"/>
    </w:pPr>
    <w:rPr>
      <w:i/>
    </w:rPr>
  </w:style>
  <w:style w:type="paragraph" w:styleId="Heading4">
    <w:name w:val="heading 4"/>
    <w:basedOn w:val="Normal"/>
    <w:next w:val="Normal"/>
    <w:qFormat/>
    <w:rsid w:val="00A215D7"/>
    <w:pPr>
      <w:keepNext/>
      <w:numPr>
        <w:ilvl w:val="3"/>
        <w:numId w:val="1"/>
      </w:numPr>
      <w:spacing w:before="240" w:after="60"/>
      <w:outlineLvl w:val="3"/>
    </w:pPr>
    <w:rPr>
      <w:b/>
      <w:i/>
    </w:rPr>
  </w:style>
  <w:style w:type="paragraph" w:styleId="Heading5">
    <w:name w:val="heading 5"/>
    <w:basedOn w:val="Normal"/>
    <w:next w:val="Normal"/>
    <w:qFormat/>
    <w:rsid w:val="00A215D7"/>
    <w:pPr>
      <w:numPr>
        <w:ilvl w:val="4"/>
        <w:numId w:val="1"/>
      </w:numPr>
      <w:spacing w:before="240" w:after="60"/>
      <w:outlineLvl w:val="4"/>
    </w:pPr>
  </w:style>
  <w:style w:type="paragraph" w:styleId="Heading6">
    <w:name w:val="heading 6"/>
    <w:aliases w:val="Sub-head"/>
    <w:basedOn w:val="Normal"/>
    <w:next w:val="Normal"/>
    <w:qFormat/>
    <w:rsid w:val="00A215D7"/>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rsid w:val="00A215D7"/>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15D7"/>
    <w:pPr>
      <w:tabs>
        <w:tab w:val="center" w:pos="4819"/>
        <w:tab w:val="right" w:pos="9071"/>
      </w:tabs>
    </w:pPr>
  </w:style>
  <w:style w:type="paragraph" w:customStyle="1" w:styleId="PropRecs">
    <w:name w:val="Prop/Recs"/>
    <w:basedOn w:val="NormalIndent"/>
    <w:next w:val="Normal"/>
    <w:rsid w:val="00A215D7"/>
    <w:pPr>
      <w:keepLines/>
      <w:numPr>
        <w:numId w:val="8"/>
      </w:numPr>
      <w:tabs>
        <w:tab w:val="clear" w:pos="1296"/>
        <w:tab w:val="clear" w:pos="1440"/>
        <w:tab w:val="clear" w:pos="4680"/>
        <w:tab w:val="clear" w:pos="5400"/>
        <w:tab w:val="clear" w:pos="9000"/>
        <w:tab w:val="left" w:pos="1435"/>
        <w:tab w:val="left" w:pos="3600"/>
      </w:tabs>
      <w:ind w:left="1440" w:hanging="720"/>
    </w:pPr>
    <w:rPr>
      <w:b/>
    </w:rPr>
  </w:style>
  <w:style w:type="paragraph" w:styleId="NormalIndent">
    <w:name w:val="Normal Indent"/>
    <w:basedOn w:val="Normal"/>
    <w:pPr>
      <w:ind w:left="720"/>
    </w:pPr>
  </w:style>
  <w:style w:type="paragraph" w:customStyle="1" w:styleId="PropRecs2">
    <w:name w:val="Prop/Recs2"/>
    <w:basedOn w:val="PropRecs"/>
    <w:next w:val="Normal"/>
    <w:autoRedefine/>
    <w:pPr>
      <w:numPr>
        <w:numId w:val="0"/>
      </w:numPr>
      <w:tabs>
        <w:tab w:val="clear" w:pos="1435"/>
        <w:tab w:val="left" w:pos="1440"/>
      </w:tabs>
      <w:ind w:left="1440"/>
    </w:pPr>
  </w:style>
  <w:style w:type="character" w:styleId="PageNumber">
    <w:name w:val="page number"/>
    <w:rsid w:val="00A215D7"/>
    <w:rPr>
      <w:rFonts w:ascii="Arial" w:hAnsi="Arial"/>
    </w:rPr>
  </w:style>
  <w:style w:type="paragraph" w:customStyle="1" w:styleId="Quoteindent">
    <w:name w:val="Quote indent"/>
    <w:basedOn w:val="NormalIndent"/>
    <w:next w:val="Normal"/>
    <w:autoRedefine/>
    <w:rsid w:val="00A215D7"/>
    <w:pPr>
      <w:tabs>
        <w:tab w:val="clear" w:pos="1440"/>
        <w:tab w:val="clear" w:pos="2160"/>
        <w:tab w:val="clear" w:pos="2880"/>
        <w:tab w:val="clear" w:pos="4680"/>
        <w:tab w:val="clear" w:pos="5400"/>
        <w:tab w:val="clear" w:pos="9000"/>
        <w:tab w:val="left" w:pos="1094"/>
        <w:tab w:val="left" w:pos="1435"/>
        <w:tab w:val="left" w:pos="1809"/>
      </w:tabs>
      <w:spacing w:line="240" w:lineRule="exact"/>
    </w:pPr>
  </w:style>
  <w:style w:type="paragraph" w:styleId="TOC1">
    <w:name w:val="toc 1"/>
    <w:basedOn w:val="Normal"/>
    <w:next w:val="Normal"/>
    <w:autoRedefine/>
    <w:semiHidden/>
    <w:pPr>
      <w:tabs>
        <w:tab w:val="clear" w:pos="720"/>
        <w:tab w:val="clear" w:pos="1440"/>
        <w:tab w:val="clear" w:pos="2160"/>
        <w:tab w:val="clear" w:pos="2880"/>
        <w:tab w:val="clear" w:pos="4680"/>
        <w:tab w:val="clear" w:pos="5400"/>
        <w:tab w:val="clear" w:pos="9000"/>
      </w:tabs>
      <w:spacing w:before="360" w:after="0"/>
      <w:jc w:val="left"/>
    </w:pPr>
    <w:rPr>
      <w:b/>
      <w:caps/>
      <w:sz w:val="24"/>
    </w:rPr>
  </w:style>
  <w:style w:type="character" w:styleId="FootnoteReference">
    <w:name w:val="footnote reference"/>
    <w:semiHidden/>
    <w:rPr>
      <w:rFonts w:ascii="Palatino" w:hAnsi="Palatino"/>
      <w:sz w:val="18"/>
      <w:vertAlign w:val="superscript"/>
    </w:rPr>
  </w:style>
  <w:style w:type="paragraph" w:styleId="FootnoteText">
    <w:name w:val="footnote text"/>
    <w:basedOn w:val="Normal"/>
    <w:semiHidden/>
    <w:pPr>
      <w:tabs>
        <w:tab w:val="clear" w:pos="1440"/>
        <w:tab w:val="clear" w:pos="2160"/>
        <w:tab w:val="clear" w:pos="2880"/>
        <w:tab w:val="clear" w:pos="4680"/>
        <w:tab w:val="clear" w:pos="5400"/>
        <w:tab w:val="clear" w:pos="9000"/>
      </w:tabs>
      <w:spacing w:after="0" w:line="200" w:lineRule="exact"/>
    </w:pPr>
    <w:rPr>
      <w:sz w:val="18"/>
    </w:rPr>
  </w:style>
  <w:style w:type="paragraph" w:customStyle="1" w:styleId="Part">
    <w:name w:val="Part"/>
    <w:basedOn w:val="Heading4"/>
    <w:next w:val="Normal"/>
    <w:rsid w:val="00A215D7"/>
    <w:pPr>
      <w:numPr>
        <w:ilvl w:val="0"/>
        <w:numId w:val="0"/>
      </w:numPr>
      <w:spacing w:after="480" w:line="520" w:lineRule="exact"/>
      <w:jc w:val="left"/>
    </w:pPr>
    <w:rPr>
      <w:i w:val="0"/>
      <w:sz w:val="40"/>
    </w:rPr>
  </w:style>
  <w:style w:type="paragraph" w:customStyle="1" w:styleId="Introduction">
    <w:name w:val="Introduction"/>
    <w:basedOn w:val="Heading4"/>
    <w:next w:val="Normal"/>
    <w:pPr>
      <w:numPr>
        <w:ilvl w:val="0"/>
        <w:numId w:val="0"/>
      </w:numPr>
      <w:spacing w:before="0" w:after="240"/>
    </w:pPr>
    <w:rPr>
      <w:i w:val="0"/>
    </w:rPr>
  </w:style>
  <w:style w:type="paragraph" w:styleId="TOC2">
    <w:name w:val="toc 2"/>
    <w:basedOn w:val="Normal"/>
    <w:next w:val="Normal"/>
    <w:autoRedefine/>
    <w:semiHidden/>
    <w:pPr>
      <w:tabs>
        <w:tab w:val="clear" w:pos="720"/>
        <w:tab w:val="clear" w:pos="1440"/>
        <w:tab w:val="clear" w:pos="2160"/>
        <w:tab w:val="clear" w:pos="2880"/>
        <w:tab w:val="clear" w:pos="4680"/>
        <w:tab w:val="clear" w:pos="5400"/>
        <w:tab w:val="clear" w:pos="9000"/>
      </w:tabs>
      <w:spacing w:before="240" w:after="0"/>
      <w:jc w:val="left"/>
    </w:pPr>
    <w:rPr>
      <w:rFonts w:ascii="Times New Roman" w:hAnsi="Times New Roman"/>
      <w:b/>
      <w:sz w:val="20"/>
    </w:rPr>
  </w:style>
  <w:style w:type="paragraph" w:styleId="TOC3">
    <w:name w:val="toc 3"/>
    <w:basedOn w:val="Normal"/>
    <w:next w:val="Normal"/>
    <w:autoRedefine/>
    <w:semiHidden/>
    <w:pPr>
      <w:tabs>
        <w:tab w:val="clear" w:pos="720"/>
        <w:tab w:val="clear" w:pos="1440"/>
        <w:tab w:val="clear" w:pos="2160"/>
        <w:tab w:val="clear" w:pos="2880"/>
        <w:tab w:val="clear" w:pos="4680"/>
        <w:tab w:val="clear" w:pos="5400"/>
        <w:tab w:val="clear" w:pos="9000"/>
      </w:tabs>
      <w:spacing w:after="0"/>
      <w:ind w:left="220"/>
      <w:jc w:val="left"/>
    </w:pPr>
    <w:rPr>
      <w:rFonts w:ascii="Times New Roman" w:hAnsi="Times New Roman"/>
      <w:sz w:val="20"/>
    </w:rPr>
  </w:style>
  <w:style w:type="paragraph" w:styleId="TOC4">
    <w:name w:val="toc 4"/>
    <w:basedOn w:val="Normal"/>
    <w:next w:val="Normal"/>
    <w:autoRedefine/>
    <w:semiHidden/>
    <w:pPr>
      <w:tabs>
        <w:tab w:val="clear" w:pos="720"/>
        <w:tab w:val="clear" w:pos="1440"/>
        <w:tab w:val="clear" w:pos="2160"/>
        <w:tab w:val="clear" w:pos="2880"/>
        <w:tab w:val="clear" w:pos="4680"/>
        <w:tab w:val="clear" w:pos="5400"/>
        <w:tab w:val="clear" w:pos="9000"/>
      </w:tabs>
      <w:spacing w:after="0"/>
      <w:ind w:left="440"/>
      <w:jc w:val="left"/>
    </w:pPr>
    <w:rPr>
      <w:rFonts w:ascii="Times New Roman" w:hAnsi="Times New Roman"/>
      <w:sz w:val="20"/>
    </w:rPr>
  </w:style>
  <w:style w:type="paragraph" w:styleId="TOC5">
    <w:name w:val="toc 5"/>
    <w:basedOn w:val="Normal"/>
    <w:next w:val="Normal"/>
    <w:autoRedefine/>
    <w:semiHidden/>
    <w:pPr>
      <w:tabs>
        <w:tab w:val="clear" w:pos="720"/>
        <w:tab w:val="clear" w:pos="1440"/>
        <w:tab w:val="clear" w:pos="2160"/>
        <w:tab w:val="clear" w:pos="2880"/>
        <w:tab w:val="clear" w:pos="4680"/>
        <w:tab w:val="clear" w:pos="5400"/>
        <w:tab w:val="clear" w:pos="9000"/>
      </w:tabs>
      <w:spacing w:after="0"/>
      <w:ind w:left="660"/>
      <w:jc w:val="left"/>
    </w:pPr>
    <w:rPr>
      <w:rFonts w:ascii="Times New Roman" w:hAnsi="Times New Roman"/>
      <w:sz w:val="20"/>
    </w:rPr>
  </w:style>
  <w:style w:type="paragraph" w:styleId="TOC6">
    <w:name w:val="toc 6"/>
    <w:basedOn w:val="Normal"/>
    <w:next w:val="Normal"/>
    <w:autoRedefine/>
    <w:semiHidden/>
    <w:pPr>
      <w:tabs>
        <w:tab w:val="clear" w:pos="720"/>
        <w:tab w:val="clear" w:pos="1440"/>
        <w:tab w:val="clear" w:pos="2160"/>
        <w:tab w:val="clear" w:pos="2880"/>
        <w:tab w:val="clear" w:pos="4680"/>
        <w:tab w:val="clear" w:pos="5400"/>
        <w:tab w:val="clear" w:pos="9000"/>
      </w:tabs>
      <w:spacing w:after="0"/>
      <w:ind w:left="880"/>
      <w:jc w:val="left"/>
    </w:pPr>
    <w:rPr>
      <w:rFonts w:ascii="Times New Roman" w:hAnsi="Times New Roman"/>
      <w:sz w:val="20"/>
    </w:rPr>
  </w:style>
  <w:style w:type="paragraph" w:styleId="TOC7">
    <w:name w:val="toc 7"/>
    <w:basedOn w:val="Normal"/>
    <w:next w:val="Normal"/>
    <w:autoRedefine/>
    <w:semiHidden/>
    <w:pPr>
      <w:tabs>
        <w:tab w:val="clear" w:pos="720"/>
        <w:tab w:val="clear" w:pos="1440"/>
        <w:tab w:val="clear" w:pos="2160"/>
        <w:tab w:val="clear" w:pos="2880"/>
        <w:tab w:val="clear" w:pos="4680"/>
        <w:tab w:val="clear" w:pos="5400"/>
        <w:tab w:val="clear" w:pos="9000"/>
      </w:tabs>
      <w:spacing w:after="0"/>
      <w:ind w:left="1100"/>
      <w:jc w:val="left"/>
    </w:pPr>
    <w:rPr>
      <w:rFonts w:ascii="Times New Roman" w:hAnsi="Times New Roman"/>
      <w:sz w:val="20"/>
    </w:rPr>
  </w:style>
  <w:style w:type="paragraph" w:styleId="TOC8">
    <w:name w:val="toc 8"/>
    <w:basedOn w:val="Normal"/>
    <w:next w:val="Normal"/>
    <w:autoRedefine/>
    <w:semiHidden/>
    <w:pPr>
      <w:tabs>
        <w:tab w:val="clear" w:pos="720"/>
        <w:tab w:val="clear" w:pos="1440"/>
        <w:tab w:val="clear" w:pos="2160"/>
        <w:tab w:val="clear" w:pos="2880"/>
        <w:tab w:val="clear" w:pos="4680"/>
        <w:tab w:val="clear" w:pos="5400"/>
        <w:tab w:val="clear" w:pos="9000"/>
      </w:tabs>
      <w:spacing w:after="0"/>
      <w:ind w:left="1320"/>
      <w:jc w:val="left"/>
    </w:pPr>
    <w:rPr>
      <w:rFonts w:ascii="Times New Roman" w:hAnsi="Times New Roman"/>
      <w:sz w:val="20"/>
    </w:rPr>
  </w:style>
  <w:style w:type="paragraph" w:styleId="TOC9">
    <w:name w:val="toc 9"/>
    <w:basedOn w:val="Normal"/>
    <w:next w:val="Normal"/>
    <w:autoRedefine/>
    <w:semiHidden/>
    <w:pPr>
      <w:tabs>
        <w:tab w:val="clear" w:pos="720"/>
        <w:tab w:val="clear" w:pos="1440"/>
        <w:tab w:val="clear" w:pos="2160"/>
        <w:tab w:val="clear" w:pos="2880"/>
        <w:tab w:val="clear" w:pos="4680"/>
        <w:tab w:val="clear" w:pos="5400"/>
        <w:tab w:val="clear" w:pos="9000"/>
      </w:tabs>
      <w:spacing w:after="0"/>
      <w:ind w:left="1540"/>
      <w:jc w:val="left"/>
    </w:pPr>
    <w:rPr>
      <w:rFonts w:ascii="Times New Roman" w:hAnsi="Times New Roman"/>
      <w:sz w:val="20"/>
    </w:rPr>
  </w:style>
  <w:style w:type="paragraph" w:styleId="DocumentMap">
    <w:name w:val="Document Map"/>
    <w:basedOn w:val="Normal"/>
    <w:semiHidden/>
    <w:pPr>
      <w:shd w:val="clear" w:color="auto" w:fill="000080"/>
    </w:pPr>
    <w:rPr>
      <w:rFonts w:ascii="Tahoma" w:hAnsi="Tahoma"/>
    </w:rPr>
  </w:style>
  <w:style w:type="paragraph" w:customStyle="1" w:styleId="Style3">
    <w:name w:val="Style3"/>
    <w:basedOn w:val="Subtitle"/>
    <w:next w:val="Normal"/>
    <w:rsid w:val="00A215D7"/>
    <w:pPr>
      <w:spacing w:after="240"/>
      <w:jc w:val="right"/>
    </w:pPr>
    <w:rPr>
      <w:sz w:val="22"/>
    </w:rPr>
  </w:style>
  <w:style w:type="paragraph" w:customStyle="1" w:styleId="Style1">
    <w:name w:val="Style1"/>
    <w:basedOn w:val="BodyTextIndent3"/>
    <w:next w:val="Normal"/>
    <w:rsid w:val="00A215D7"/>
    <w:pPr>
      <w:spacing w:after="240"/>
      <w:ind w:left="1440"/>
    </w:pPr>
    <w:rPr>
      <w:b/>
      <w:sz w:val="22"/>
    </w:rPr>
  </w:style>
  <w:style w:type="paragraph" w:styleId="BodyTextIndent3">
    <w:name w:val="Body Text Indent 3"/>
    <w:basedOn w:val="Normal"/>
    <w:rsid w:val="00A215D7"/>
    <w:pPr>
      <w:spacing w:after="120"/>
      <w:ind w:left="283"/>
    </w:pPr>
    <w:rPr>
      <w:sz w:val="16"/>
    </w:rPr>
  </w:style>
  <w:style w:type="paragraph" w:customStyle="1" w:styleId="Style2">
    <w:name w:val="Style2"/>
    <w:basedOn w:val="BodyText3"/>
    <w:next w:val="Normal"/>
    <w:rsid w:val="00A215D7"/>
    <w:pPr>
      <w:tabs>
        <w:tab w:val="left" w:pos="3600"/>
      </w:tabs>
      <w:spacing w:after="240"/>
      <w:ind w:left="2880" w:hanging="720"/>
    </w:pPr>
    <w:rPr>
      <w:b/>
      <w:sz w:val="22"/>
    </w:rPr>
  </w:style>
  <w:style w:type="paragraph" w:styleId="BodyText3">
    <w:name w:val="Body Text 3"/>
    <w:basedOn w:val="Normal"/>
    <w:rsid w:val="00A215D7"/>
    <w:pPr>
      <w:spacing w:after="120"/>
    </w:pPr>
    <w:rPr>
      <w:sz w:val="16"/>
    </w:rPr>
  </w:style>
  <w:style w:type="paragraph" w:styleId="Subtitle">
    <w:name w:val="Subtitle"/>
    <w:basedOn w:val="Normal"/>
    <w:qFormat/>
    <w:pPr>
      <w:spacing w:after="60"/>
      <w:jc w:val="center"/>
      <w:outlineLvl w:val="1"/>
    </w:pPr>
    <w:rPr>
      <w:sz w:val="24"/>
    </w:rPr>
  </w:style>
  <w:style w:type="paragraph" w:styleId="Header">
    <w:name w:val="header"/>
    <w:basedOn w:val="Normal"/>
    <w:rsid w:val="00A215D7"/>
    <w:pPr>
      <w:tabs>
        <w:tab w:val="clear" w:pos="720"/>
        <w:tab w:val="clear" w:pos="1440"/>
        <w:tab w:val="clear" w:pos="2160"/>
        <w:tab w:val="clear" w:pos="2880"/>
        <w:tab w:val="clear" w:pos="4680"/>
        <w:tab w:val="clear" w:pos="5400"/>
        <w:tab w:val="clear" w:pos="9000"/>
        <w:tab w:val="center" w:pos="4153"/>
        <w:tab w:val="right" w:pos="8306"/>
      </w:tabs>
    </w:pPr>
  </w:style>
  <w:style w:type="paragraph" w:customStyle="1" w:styleId="Outline4">
    <w:name w:val="Outline4"/>
    <w:basedOn w:val="Normal"/>
    <w:next w:val="Normal"/>
    <w:rsid w:val="00A215D7"/>
    <w:pPr>
      <w:spacing w:after="0" w:line="240" w:lineRule="atLeast"/>
      <w:ind w:left="2160"/>
    </w:pPr>
    <w:rPr>
      <w:kern w:val="24"/>
    </w:rPr>
  </w:style>
  <w:style w:type="paragraph" w:customStyle="1" w:styleId="Outline5">
    <w:name w:val="Outline5"/>
    <w:basedOn w:val="Normal"/>
    <w:next w:val="Normal"/>
    <w:rsid w:val="00A215D7"/>
    <w:pPr>
      <w:spacing w:after="0" w:line="240" w:lineRule="atLeast"/>
      <w:ind w:left="720"/>
    </w:pPr>
    <w:rPr>
      <w:kern w:val="24"/>
    </w:rPr>
  </w:style>
  <w:style w:type="paragraph" w:styleId="BodyText">
    <w:name w:val="Body Text"/>
    <w:basedOn w:val="Normal"/>
    <w:rsid w:val="00A215D7"/>
    <w:pPr>
      <w:tabs>
        <w:tab w:val="clear" w:pos="720"/>
        <w:tab w:val="clear" w:pos="1440"/>
        <w:tab w:val="clear" w:pos="2160"/>
        <w:tab w:val="clear" w:pos="2880"/>
        <w:tab w:val="clear" w:pos="4680"/>
        <w:tab w:val="clear" w:pos="5400"/>
        <w:tab w:val="clear" w:pos="9000"/>
      </w:tabs>
      <w:spacing w:after="0" w:line="360" w:lineRule="auto"/>
      <w:jc w:val="left"/>
    </w:pPr>
    <w:rPr>
      <w:lang w:val="en-US"/>
    </w:rPr>
  </w:style>
  <w:style w:type="character" w:styleId="Hyperlink">
    <w:name w:val="Hyperlink"/>
    <w:rsid w:val="00D73010"/>
    <w:rPr>
      <w:color w:val="0000FF"/>
      <w:u w:val="single"/>
    </w:rPr>
  </w:style>
  <w:style w:type="paragraph" w:customStyle="1" w:styleId="StyleAfter0ptLinespacingsingle">
    <w:name w:val="Style After:  0 pt Line spacing:  single"/>
    <w:basedOn w:val="Normal"/>
    <w:rsid w:val="00A215D7"/>
    <w:pPr>
      <w:spacing w:after="0" w:line="240" w:lineRule="auto"/>
    </w:pPr>
  </w:style>
  <w:style w:type="character" w:styleId="FollowedHyperlink">
    <w:name w:val="FollowedHyperlink"/>
    <w:rsid w:val="00C539FD"/>
    <w:rPr>
      <w:color w:val="800080"/>
      <w:u w:val="single"/>
    </w:rPr>
  </w:style>
  <w:style w:type="paragraph" w:customStyle="1" w:styleId="ChHeading">
    <w:name w:val="Ch Heading"/>
    <w:basedOn w:val="Normal"/>
    <w:next w:val="Normal"/>
    <w:uiPriority w:val="99"/>
    <w:qFormat/>
    <w:rsid w:val="00513B3B"/>
    <w:pPr>
      <w:numPr>
        <w:numId w:val="34"/>
      </w:numPr>
      <w:tabs>
        <w:tab w:val="clear" w:pos="720"/>
        <w:tab w:val="clear" w:pos="1440"/>
        <w:tab w:val="clear" w:pos="2160"/>
        <w:tab w:val="left" w:pos="2552"/>
      </w:tabs>
      <w:spacing w:after="960" w:line="520" w:lineRule="exact"/>
      <w:jc w:val="left"/>
      <w:outlineLvl w:val="0"/>
    </w:pPr>
    <w:rPr>
      <w:b/>
      <w:sz w:val="40"/>
      <w:szCs w:val="40"/>
    </w:rPr>
  </w:style>
  <w:style w:type="character" w:customStyle="1" w:styleId="NumberedParagraphChar">
    <w:name w:val="Numbered Paragraph Char"/>
    <w:link w:val="NumberedParagraph"/>
    <w:uiPriority w:val="99"/>
    <w:locked/>
    <w:rsid w:val="00513B3B"/>
  </w:style>
  <w:style w:type="paragraph" w:customStyle="1" w:styleId="NumberedParagraph">
    <w:name w:val="Numbered Paragraph"/>
    <w:basedOn w:val="Normal"/>
    <w:link w:val="NumberedParagraphChar"/>
    <w:uiPriority w:val="99"/>
    <w:qFormat/>
    <w:rsid w:val="00513B3B"/>
    <w:pPr>
      <w:numPr>
        <w:ilvl w:val="1"/>
        <w:numId w:val="34"/>
      </w:numPr>
      <w:tabs>
        <w:tab w:val="clear" w:pos="720"/>
        <w:tab w:val="clear" w:pos="1440"/>
        <w:tab w:val="clear" w:pos="2160"/>
        <w:tab w:val="clear" w:pos="2880"/>
        <w:tab w:val="clear" w:pos="4680"/>
        <w:tab w:val="clear" w:pos="5400"/>
        <w:tab w:val="clear" w:pos="9000"/>
        <w:tab w:val="left" w:pos="0"/>
      </w:tabs>
      <w:ind w:left="0" w:firstLine="0"/>
    </w:pPr>
    <w:rPr>
      <w:rFonts w:ascii="Times New Roman" w:hAnsi="Times New Roman"/>
      <w:sz w:val="20"/>
      <w:lang w:eastAsia="en-GB"/>
    </w:rPr>
  </w:style>
  <w:style w:type="numbering" w:customStyle="1" w:styleId="Chaptersandparanumbers">
    <w:name w:val="Chapters and para numbers"/>
    <w:uiPriority w:val="99"/>
    <w:rsid w:val="00513B3B"/>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18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cotlawcom.gsi.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cotlawcom.gov.uk/contact-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cotland.gov.uk\dfs\office_templates\Scottish%20Law%20Commission\Response%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Response Form</Template>
  <TotalTime>48</TotalTime>
  <Pages>17</Pages>
  <Words>2931</Words>
  <Characters>16710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Response Form.dot</vt:lpstr>
    </vt:vector>
  </TitlesOfParts>
  <Company>Scottish Executive</Company>
  <LinksUpToDate>false</LinksUpToDate>
  <CharactersWithSpaces>19602</CharactersWithSpaces>
  <SharedDoc>false</SharedDoc>
  <HLinks>
    <vt:vector size="12" baseType="variant">
      <vt:variant>
        <vt:i4>3407924</vt:i4>
      </vt:variant>
      <vt:variant>
        <vt:i4>6</vt:i4>
      </vt:variant>
      <vt:variant>
        <vt:i4>0</vt:i4>
      </vt:variant>
      <vt:variant>
        <vt:i4>5</vt:i4>
      </vt:variant>
      <vt:variant>
        <vt:lpwstr>http://www.scotlawcom.gov.uk/contact-us</vt:lpwstr>
      </vt:variant>
      <vt:variant>
        <vt:lpwstr>sendcomments</vt:lpwstr>
      </vt:variant>
      <vt:variant>
        <vt:i4>4128785</vt:i4>
      </vt:variant>
      <vt:variant>
        <vt:i4>3</vt:i4>
      </vt:variant>
      <vt:variant>
        <vt:i4>0</vt:i4>
      </vt:variant>
      <vt:variant>
        <vt:i4>5</vt:i4>
      </vt:variant>
      <vt:variant>
        <vt:lpwstr>mailto:info@scotlawcom.gsi.gov.uk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Form.dot</dc:title>
  <dc:subject>Scottish Law Commission - Response Form</dc:subject>
  <dc:creator>n016517</dc:creator>
  <cp:keywords>SLC - Response Form</cp:keywords>
  <cp:lastModifiedBy>Melville J (Joan)</cp:lastModifiedBy>
  <cp:revision>11</cp:revision>
  <cp:lastPrinted>2007-06-05T14:25:00Z</cp:lastPrinted>
  <dcterms:created xsi:type="dcterms:W3CDTF">2019-05-20T13:05:00Z</dcterms:created>
  <dcterms:modified xsi:type="dcterms:W3CDTF">2019-06-17T09:40:00Z</dcterms:modified>
  <cp:category>Letter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1</vt:lpwstr>
  </property>
  <property fmtid="{D5CDD505-2E9C-101B-9397-08002B2CF9AE}" pid="3" name="Document Number">
    <vt:lpwstr>R252988</vt:lpwstr>
  </property>
</Properties>
</file>